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18E2A" w14:textId="77777777" w:rsidR="0004508D" w:rsidRPr="00521721" w:rsidRDefault="00E44878" w:rsidP="0004508D">
      <w:pPr>
        <w:pStyle w:val="Title"/>
        <w:rPr>
          <w:sz w:val="22"/>
          <w:szCs w:val="22"/>
        </w:rPr>
      </w:pPr>
      <w:bookmarkStart w:id="0" w:name="_Toc397501854"/>
      <w:bookmarkStart w:id="1" w:name="_GoBack"/>
      <w:bookmarkEnd w:id="1"/>
      <w:r w:rsidRPr="00521721">
        <w:rPr>
          <w:sz w:val="22"/>
          <w:szCs w:val="22"/>
        </w:rPr>
        <w:t xml:space="preserve">Terms of Reference </w:t>
      </w:r>
      <w:r w:rsidR="0004508D" w:rsidRPr="00521721">
        <w:rPr>
          <w:sz w:val="22"/>
          <w:szCs w:val="22"/>
        </w:rPr>
        <w:t>(TOR)</w:t>
      </w:r>
    </w:p>
    <w:p w14:paraId="2A07BB8C" w14:textId="77777777" w:rsidR="00FF014E" w:rsidRPr="00521721" w:rsidRDefault="00E44878" w:rsidP="00FF014E">
      <w:pPr>
        <w:pStyle w:val="Title"/>
        <w:rPr>
          <w:sz w:val="22"/>
          <w:szCs w:val="22"/>
        </w:rPr>
      </w:pPr>
      <w:r w:rsidRPr="00521721">
        <w:rPr>
          <w:sz w:val="22"/>
          <w:szCs w:val="22"/>
        </w:rPr>
        <w:t>Audit of</w:t>
      </w:r>
      <w:r w:rsidR="0004508D" w:rsidRPr="00521721">
        <w:rPr>
          <w:sz w:val="22"/>
          <w:szCs w:val="22"/>
        </w:rPr>
        <w:t xml:space="preserve"> </w:t>
      </w:r>
      <w:r w:rsidR="004766FA" w:rsidRPr="00521721">
        <w:rPr>
          <w:sz w:val="22"/>
          <w:szCs w:val="22"/>
        </w:rPr>
        <w:t xml:space="preserve">World Bank- Supported </w:t>
      </w:r>
      <w:r w:rsidRPr="00521721">
        <w:rPr>
          <w:sz w:val="22"/>
          <w:szCs w:val="22"/>
        </w:rPr>
        <w:t>Projects</w:t>
      </w:r>
      <w:r w:rsidR="0004508D" w:rsidRPr="00521721">
        <w:rPr>
          <w:sz w:val="22"/>
          <w:szCs w:val="22"/>
        </w:rPr>
        <w:t xml:space="preserve"> </w:t>
      </w:r>
      <w:r w:rsidR="00D85F2D" w:rsidRPr="00521721">
        <w:rPr>
          <w:sz w:val="22"/>
          <w:szCs w:val="22"/>
        </w:rPr>
        <w:t>for</w:t>
      </w:r>
    </w:p>
    <w:p w14:paraId="05B2BEFB" w14:textId="4844C42C" w:rsidR="0004508D" w:rsidRPr="00521721" w:rsidRDefault="0008169D" w:rsidP="000A7841">
      <w:pPr>
        <w:pStyle w:val="Title"/>
        <w:rPr>
          <w:sz w:val="22"/>
          <w:szCs w:val="22"/>
        </w:rPr>
      </w:pPr>
      <w:r w:rsidRPr="00521721">
        <w:rPr>
          <w:sz w:val="22"/>
          <w:szCs w:val="22"/>
        </w:rPr>
        <w:t xml:space="preserve">the Year </w:t>
      </w:r>
      <w:r w:rsidR="000A7841">
        <w:rPr>
          <w:sz w:val="22"/>
          <w:szCs w:val="22"/>
        </w:rPr>
        <w:t xml:space="preserve">2024 </w:t>
      </w:r>
    </w:p>
    <w:p w14:paraId="355563D9" w14:textId="77777777" w:rsidR="00850EA8" w:rsidRPr="00F0543F" w:rsidRDefault="00850EA8" w:rsidP="00850EA8">
      <w:pPr>
        <w:autoSpaceDN/>
        <w:jc w:val="center"/>
        <w:rPr>
          <w:sz w:val="22"/>
          <w:szCs w:val="22"/>
        </w:rPr>
      </w:pPr>
    </w:p>
    <w:p w14:paraId="27E44C4F" w14:textId="39697FA2" w:rsidR="00DE3589" w:rsidRPr="00F0543F" w:rsidRDefault="00C51313" w:rsidP="000A7841">
      <w:pPr>
        <w:numPr>
          <w:ilvl w:val="0"/>
          <w:numId w:val="17"/>
        </w:numPr>
        <w:tabs>
          <w:tab w:val="left" w:pos="360"/>
        </w:tabs>
        <w:jc w:val="both"/>
        <w:rPr>
          <w:sz w:val="22"/>
          <w:szCs w:val="22"/>
        </w:rPr>
      </w:pPr>
      <w:r w:rsidRPr="00F0543F">
        <w:rPr>
          <w:sz w:val="22"/>
          <w:szCs w:val="22"/>
        </w:rPr>
        <w:t>The Lebanese Republic (Borrower) has obtained from the World Bank</w:t>
      </w:r>
      <w:r w:rsidR="00754DF0">
        <w:rPr>
          <w:sz w:val="22"/>
          <w:szCs w:val="22"/>
        </w:rPr>
        <w:t xml:space="preserve"> (the Bank)</w:t>
      </w:r>
      <w:r w:rsidRPr="00F0543F">
        <w:rPr>
          <w:sz w:val="22"/>
          <w:szCs w:val="22"/>
        </w:rPr>
        <w:t xml:space="preserve"> </w:t>
      </w:r>
      <w:r w:rsidR="00755B73" w:rsidRPr="00F0543F">
        <w:rPr>
          <w:b/>
          <w:bCs/>
          <w:sz w:val="22"/>
          <w:szCs w:val="22"/>
        </w:rPr>
        <w:t>five</w:t>
      </w:r>
      <w:r w:rsidR="0012088C" w:rsidRPr="00F0543F">
        <w:rPr>
          <w:b/>
          <w:bCs/>
          <w:sz w:val="22"/>
          <w:szCs w:val="22"/>
        </w:rPr>
        <w:t xml:space="preserve"> </w:t>
      </w:r>
      <w:r w:rsidR="00567A16" w:rsidRPr="00F0543F">
        <w:rPr>
          <w:b/>
          <w:bCs/>
          <w:sz w:val="22"/>
          <w:szCs w:val="22"/>
        </w:rPr>
        <w:t>l</w:t>
      </w:r>
      <w:r w:rsidRPr="00F0543F">
        <w:rPr>
          <w:b/>
          <w:bCs/>
          <w:sz w:val="22"/>
          <w:szCs w:val="22"/>
        </w:rPr>
        <w:t xml:space="preserve">oans </w:t>
      </w:r>
      <w:r w:rsidR="00062D28" w:rsidRPr="00F0543F">
        <w:rPr>
          <w:b/>
          <w:bCs/>
          <w:sz w:val="22"/>
          <w:szCs w:val="22"/>
        </w:rPr>
        <w:t>(including</w:t>
      </w:r>
      <w:r w:rsidR="003A525F" w:rsidRPr="00F0543F">
        <w:rPr>
          <w:b/>
          <w:bCs/>
          <w:sz w:val="22"/>
          <w:szCs w:val="22"/>
        </w:rPr>
        <w:t xml:space="preserve"> GCFF grants) </w:t>
      </w:r>
      <w:r w:rsidRPr="00F0543F">
        <w:rPr>
          <w:b/>
          <w:bCs/>
          <w:sz w:val="22"/>
          <w:szCs w:val="22"/>
        </w:rPr>
        <w:t xml:space="preserve">for the cumulative value of around US$ </w:t>
      </w:r>
      <w:r w:rsidR="00755B73" w:rsidRPr="00F0543F">
        <w:rPr>
          <w:b/>
          <w:bCs/>
          <w:sz w:val="22"/>
          <w:szCs w:val="22"/>
        </w:rPr>
        <w:t>1,224</w:t>
      </w:r>
      <w:r w:rsidRPr="00F0543F">
        <w:rPr>
          <w:b/>
          <w:bCs/>
          <w:sz w:val="22"/>
          <w:szCs w:val="22"/>
        </w:rPr>
        <w:t xml:space="preserve"> </w:t>
      </w:r>
      <w:r w:rsidR="00062D28" w:rsidRPr="00F0543F">
        <w:rPr>
          <w:b/>
          <w:bCs/>
          <w:sz w:val="22"/>
          <w:szCs w:val="22"/>
        </w:rPr>
        <w:t xml:space="preserve">Million </w:t>
      </w:r>
      <w:r w:rsidR="00AD0DD8" w:rsidRPr="00F0543F">
        <w:rPr>
          <w:b/>
          <w:bCs/>
          <w:sz w:val="22"/>
          <w:szCs w:val="22"/>
        </w:rPr>
        <w:t>(</w:t>
      </w:r>
      <w:r w:rsidR="00062D28" w:rsidRPr="00F0543F">
        <w:rPr>
          <w:b/>
          <w:bCs/>
          <w:sz w:val="22"/>
          <w:szCs w:val="22"/>
        </w:rPr>
        <w:t>$</w:t>
      </w:r>
      <w:r w:rsidR="004A0C6E" w:rsidRPr="00F0543F">
        <w:rPr>
          <w:b/>
          <w:bCs/>
          <w:sz w:val="22"/>
          <w:szCs w:val="22"/>
        </w:rPr>
        <w:t xml:space="preserve">696.33 </w:t>
      </w:r>
      <w:r w:rsidR="00190A4B" w:rsidRPr="00F0543F">
        <w:rPr>
          <w:b/>
          <w:bCs/>
          <w:sz w:val="22"/>
          <w:szCs w:val="22"/>
        </w:rPr>
        <w:t xml:space="preserve">Million following </w:t>
      </w:r>
      <w:r w:rsidR="00062D28" w:rsidRPr="00F0543F">
        <w:rPr>
          <w:b/>
          <w:bCs/>
          <w:sz w:val="22"/>
          <w:szCs w:val="22"/>
        </w:rPr>
        <w:t>the partial cancellation of WSAP</w:t>
      </w:r>
      <w:r w:rsidR="004A0C6E" w:rsidRPr="00F0543F">
        <w:rPr>
          <w:b/>
          <w:bCs/>
          <w:sz w:val="22"/>
          <w:szCs w:val="22"/>
        </w:rPr>
        <w:t xml:space="preserve"> and the BRT cancellation</w:t>
      </w:r>
      <w:r w:rsidR="00062D28" w:rsidRPr="00F0543F">
        <w:rPr>
          <w:b/>
          <w:bCs/>
          <w:sz w:val="22"/>
          <w:szCs w:val="22"/>
        </w:rPr>
        <w:t>)</w:t>
      </w:r>
      <w:r w:rsidRPr="00F0543F">
        <w:rPr>
          <w:b/>
          <w:bCs/>
          <w:sz w:val="22"/>
          <w:szCs w:val="22"/>
        </w:rPr>
        <w:t xml:space="preserve"> </w:t>
      </w:r>
      <w:r w:rsidRPr="00F0543F">
        <w:rPr>
          <w:sz w:val="22"/>
          <w:szCs w:val="22"/>
        </w:rPr>
        <w:t>to finance the implementation of the Greater Beirut Water Supply Project</w:t>
      </w:r>
      <w:r w:rsidR="0012088C" w:rsidRPr="00F0543F">
        <w:rPr>
          <w:sz w:val="22"/>
          <w:szCs w:val="22"/>
        </w:rPr>
        <w:t>, The Water Supply Augmentation Project</w:t>
      </w:r>
      <w:r w:rsidR="00D436B5" w:rsidRPr="00F0543F">
        <w:rPr>
          <w:sz w:val="22"/>
          <w:szCs w:val="22"/>
        </w:rPr>
        <w:t xml:space="preserve">, The Lake </w:t>
      </w:r>
      <w:proofErr w:type="spellStart"/>
      <w:r w:rsidR="00D436B5" w:rsidRPr="00F0543F">
        <w:rPr>
          <w:sz w:val="22"/>
          <w:szCs w:val="22"/>
        </w:rPr>
        <w:t>Qaraoun</w:t>
      </w:r>
      <w:proofErr w:type="spellEnd"/>
      <w:r w:rsidR="00D436B5" w:rsidRPr="00F0543F">
        <w:rPr>
          <w:sz w:val="22"/>
          <w:szCs w:val="22"/>
        </w:rPr>
        <w:t xml:space="preserve"> Pollution Prevention Project</w:t>
      </w:r>
      <w:r w:rsidR="00C563FF" w:rsidRPr="00F0543F">
        <w:rPr>
          <w:sz w:val="22"/>
          <w:szCs w:val="22"/>
        </w:rPr>
        <w:t>,</w:t>
      </w:r>
      <w:r w:rsidR="00C563FF" w:rsidRPr="00F0543F">
        <w:rPr>
          <w:b/>
          <w:bCs/>
          <w:sz w:val="22"/>
          <w:szCs w:val="22"/>
        </w:rPr>
        <w:t xml:space="preserve"> </w:t>
      </w:r>
      <w:r w:rsidR="00C563FF" w:rsidRPr="00F0543F">
        <w:rPr>
          <w:sz w:val="22"/>
          <w:szCs w:val="22"/>
        </w:rPr>
        <w:t>The Roads and Employment Project</w:t>
      </w:r>
      <w:r w:rsidR="0012088C" w:rsidRPr="00F0543F">
        <w:rPr>
          <w:sz w:val="22"/>
          <w:szCs w:val="22"/>
        </w:rPr>
        <w:t xml:space="preserve"> </w:t>
      </w:r>
      <w:r w:rsidR="00567A16" w:rsidRPr="00F0543F">
        <w:rPr>
          <w:sz w:val="22"/>
          <w:szCs w:val="22"/>
        </w:rPr>
        <w:t xml:space="preserve">and </w:t>
      </w:r>
      <w:r w:rsidR="00755B73" w:rsidRPr="00F0543F">
        <w:rPr>
          <w:sz w:val="22"/>
          <w:szCs w:val="22"/>
        </w:rPr>
        <w:t xml:space="preserve">The </w:t>
      </w:r>
      <w:r w:rsidR="00755B73" w:rsidRPr="00F0543F">
        <w:rPr>
          <w:sz w:val="22"/>
          <w:szCs w:val="22"/>
          <w:lang w:eastAsia="zh-CN"/>
        </w:rPr>
        <w:t>Greater Beirut Public Transport Project</w:t>
      </w:r>
      <w:r w:rsidRPr="00F0543F">
        <w:rPr>
          <w:sz w:val="22"/>
          <w:szCs w:val="22"/>
        </w:rPr>
        <w:t xml:space="preserve">. </w:t>
      </w:r>
      <w:r w:rsidR="00161FBB">
        <w:rPr>
          <w:sz w:val="22"/>
          <w:szCs w:val="22"/>
        </w:rPr>
        <w:t>The audit of World Bank supported projects shall cover the year 202</w:t>
      </w:r>
      <w:r w:rsidR="000A7841">
        <w:rPr>
          <w:sz w:val="22"/>
          <w:szCs w:val="22"/>
        </w:rPr>
        <w:t>4</w:t>
      </w:r>
      <w:r w:rsidR="00161FBB">
        <w:rPr>
          <w:sz w:val="22"/>
          <w:szCs w:val="22"/>
        </w:rPr>
        <w:t>.</w:t>
      </w:r>
    </w:p>
    <w:p w14:paraId="7C502952" w14:textId="77777777" w:rsidR="00CE051B" w:rsidRPr="00F0543F" w:rsidRDefault="00CE051B" w:rsidP="00CE051B">
      <w:pPr>
        <w:tabs>
          <w:tab w:val="left" w:pos="360"/>
        </w:tabs>
        <w:ind w:left="360"/>
        <w:jc w:val="both"/>
        <w:rPr>
          <w:sz w:val="22"/>
          <w:szCs w:val="22"/>
        </w:rPr>
      </w:pPr>
    </w:p>
    <w:p w14:paraId="2A4E1897" w14:textId="048ACA52" w:rsidR="00C761A1" w:rsidRPr="00F0543F" w:rsidRDefault="00C761A1" w:rsidP="004256E1">
      <w:pPr>
        <w:numPr>
          <w:ilvl w:val="0"/>
          <w:numId w:val="17"/>
        </w:numPr>
        <w:tabs>
          <w:tab w:val="left" w:pos="0"/>
        </w:tabs>
        <w:autoSpaceDE w:val="0"/>
        <w:adjustRightInd w:val="0"/>
        <w:jc w:val="both"/>
        <w:rPr>
          <w:sz w:val="22"/>
          <w:szCs w:val="22"/>
        </w:rPr>
      </w:pPr>
      <w:r w:rsidRPr="00F0543F">
        <w:rPr>
          <w:sz w:val="22"/>
          <w:szCs w:val="22"/>
        </w:rPr>
        <w:t xml:space="preserve">Except for the </w:t>
      </w:r>
      <w:r w:rsidR="0049555B" w:rsidRPr="00F0543F">
        <w:rPr>
          <w:sz w:val="22"/>
          <w:szCs w:val="22"/>
        </w:rPr>
        <w:t xml:space="preserve">second and third </w:t>
      </w:r>
      <w:r w:rsidRPr="00F0543F">
        <w:rPr>
          <w:sz w:val="22"/>
          <w:szCs w:val="22"/>
        </w:rPr>
        <w:t>component</w:t>
      </w:r>
      <w:r w:rsidR="0049555B" w:rsidRPr="00F0543F">
        <w:rPr>
          <w:sz w:val="22"/>
          <w:szCs w:val="22"/>
        </w:rPr>
        <w:t>s</w:t>
      </w:r>
      <w:r w:rsidRPr="00F0543F">
        <w:rPr>
          <w:sz w:val="22"/>
          <w:szCs w:val="22"/>
        </w:rPr>
        <w:t xml:space="preserve"> of the Greater Beirut Water Supply </w:t>
      </w:r>
      <w:r w:rsidR="00062D28" w:rsidRPr="00F0543F">
        <w:rPr>
          <w:sz w:val="22"/>
          <w:szCs w:val="22"/>
        </w:rPr>
        <w:t>Project,</w:t>
      </w:r>
      <w:r w:rsidRPr="00F0543F">
        <w:rPr>
          <w:sz w:val="22"/>
          <w:szCs w:val="22"/>
        </w:rPr>
        <w:t xml:space="preserve"> all Projects are carried out by</w:t>
      </w:r>
      <w:r w:rsidR="004256E1">
        <w:rPr>
          <w:sz w:val="22"/>
          <w:szCs w:val="22"/>
        </w:rPr>
        <w:t xml:space="preserve"> the Council for Development and Reconstruction</w:t>
      </w:r>
      <w:r w:rsidRPr="00F0543F">
        <w:rPr>
          <w:sz w:val="22"/>
          <w:szCs w:val="22"/>
        </w:rPr>
        <w:t xml:space="preserve"> (CDR) with the Borrower’s assistance. The Borrower makes the proceeds of the Loans/Grants available to the CDR as set forth in the respective Loan/ Grant Agreements. The CDR is entrusted with the execution and supervision of the implementation of the projects through a Project Management Unit (PMU) located within the CDR. For the</w:t>
      </w:r>
      <w:r w:rsidR="004256E1">
        <w:rPr>
          <w:sz w:val="22"/>
          <w:szCs w:val="22"/>
        </w:rPr>
        <w:t xml:space="preserve"> </w:t>
      </w:r>
      <w:r w:rsidR="004256E1" w:rsidRPr="004256E1">
        <w:rPr>
          <w:sz w:val="22"/>
          <w:szCs w:val="22"/>
        </w:rPr>
        <w:t>Greater Beirut Water Supply Project</w:t>
      </w:r>
      <w:r w:rsidRPr="00F0543F">
        <w:rPr>
          <w:sz w:val="22"/>
          <w:szCs w:val="22"/>
        </w:rPr>
        <w:t xml:space="preserve"> </w:t>
      </w:r>
      <w:r w:rsidR="004256E1">
        <w:rPr>
          <w:sz w:val="22"/>
          <w:szCs w:val="22"/>
        </w:rPr>
        <w:t>(</w:t>
      </w:r>
      <w:r w:rsidRPr="00F0543F">
        <w:rPr>
          <w:sz w:val="22"/>
          <w:szCs w:val="22"/>
        </w:rPr>
        <w:t>GBWSP</w:t>
      </w:r>
      <w:r w:rsidR="004256E1">
        <w:rPr>
          <w:sz w:val="22"/>
          <w:szCs w:val="22"/>
        </w:rPr>
        <w:t>)</w:t>
      </w:r>
      <w:r w:rsidRPr="00F0543F">
        <w:rPr>
          <w:sz w:val="22"/>
          <w:szCs w:val="22"/>
        </w:rPr>
        <w:t>, CDR is only responsible for the Bulk Water Supply Infrastructure component implementation</w:t>
      </w:r>
      <w:r w:rsidR="004302DD" w:rsidRPr="00F0543F">
        <w:rPr>
          <w:sz w:val="22"/>
          <w:szCs w:val="22"/>
        </w:rPr>
        <w:t xml:space="preserve"> (Component 1)</w:t>
      </w:r>
      <w:r w:rsidRPr="00F0543F">
        <w:rPr>
          <w:sz w:val="22"/>
          <w:szCs w:val="22"/>
        </w:rPr>
        <w:t xml:space="preserve">. The other two components are implemented by the Beirut Mount Lebanon Water Establishment (BMLWE) who also generates </w:t>
      </w:r>
      <w:r w:rsidR="008C6018" w:rsidRPr="00F0543F">
        <w:rPr>
          <w:sz w:val="22"/>
          <w:szCs w:val="22"/>
        </w:rPr>
        <w:t xml:space="preserve">all </w:t>
      </w:r>
      <w:r w:rsidRPr="00F0543F">
        <w:rPr>
          <w:sz w:val="22"/>
          <w:szCs w:val="22"/>
        </w:rPr>
        <w:t xml:space="preserve">the reporting to the </w:t>
      </w:r>
      <w:r w:rsidR="00754DF0">
        <w:rPr>
          <w:sz w:val="22"/>
          <w:szCs w:val="22"/>
        </w:rPr>
        <w:t>Bank</w:t>
      </w:r>
      <w:r w:rsidRPr="00F0543F">
        <w:rPr>
          <w:sz w:val="22"/>
          <w:szCs w:val="22"/>
        </w:rPr>
        <w:t>.</w:t>
      </w:r>
    </w:p>
    <w:p w14:paraId="11121E9E" w14:textId="77777777" w:rsidR="00DE3589" w:rsidRPr="00F0543F" w:rsidRDefault="00DE3589" w:rsidP="00DE3589">
      <w:pPr>
        <w:tabs>
          <w:tab w:val="left" w:pos="0"/>
        </w:tabs>
        <w:autoSpaceDE w:val="0"/>
        <w:adjustRightInd w:val="0"/>
        <w:jc w:val="both"/>
        <w:rPr>
          <w:sz w:val="22"/>
          <w:szCs w:val="22"/>
        </w:rPr>
      </w:pPr>
    </w:p>
    <w:p w14:paraId="7F2D4AFE" w14:textId="77777777" w:rsidR="00A37C82" w:rsidRPr="00F0543F" w:rsidRDefault="002C088E" w:rsidP="002C1C89">
      <w:pPr>
        <w:numPr>
          <w:ilvl w:val="0"/>
          <w:numId w:val="17"/>
        </w:numPr>
        <w:tabs>
          <w:tab w:val="left" w:pos="360"/>
        </w:tabs>
        <w:jc w:val="both"/>
        <w:rPr>
          <w:sz w:val="22"/>
          <w:szCs w:val="22"/>
        </w:rPr>
      </w:pPr>
      <w:r w:rsidRPr="00F0543F">
        <w:rPr>
          <w:sz w:val="22"/>
          <w:szCs w:val="22"/>
        </w:rPr>
        <w:t>The</w:t>
      </w:r>
      <w:r w:rsidR="00E240F7" w:rsidRPr="00F0543F">
        <w:rPr>
          <w:sz w:val="22"/>
          <w:szCs w:val="22"/>
        </w:rPr>
        <w:t xml:space="preserve"> legally bindi</w:t>
      </w:r>
      <w:r w:rsidR="00187B73" w:rsidRPr="00F0543F">
        <w:rPr>
          <w:sz w:val="22"/>
          <w:szCs w:val="22"/>
        </w:rPr>
        <w:t>ng terms and conditions are in L</w:t>
      </w:r>
      <w:r w:rsidR="00E240F7" w:rsidRPr="00F0543F">
        <w:rPr>
          <w:sz w:val="22"/>
          <w:szCs w:val="22"/>
        </w:rPr>
        <w:t xml:space="preserve">oan </w:t>
      </w:r>
      <w:r w:rsidR="00187B73" w:rsidRPr="00F0543F">
        <w:rPr>
          <w:sz w:val="22"/>
          <w:szCs w:val="22"/>
        </w:rPr>
        <w:t>/G</w:t>
      </w:r>
      <w:r w:rsidR="00B04418" w:rsidRPr="00F0543F">
        <w:rPr>
          <w:sz w:val="22"/>
          <w:szCs w:val="22"/>
        </w:rPr>
        <w:t xml:space="preserve">rant </w:t>
      </w:r>
      <w:r w:rsidR="00E240F7" w:rsidRPr="00F0543F">
        <w:rPr>
          <w:sz w:val="22"/>
          <w:szCs w:val="22"/>
        </w:rPr>
        <w:t xml:space="preserve">agreements, which may be amplified </w:t>
      </w:r>
      <w:r w:rsidR="00187B73" w:rsidRPr="00F0543F">
        <w:rPr>
          <w:sz w:val="22"/>
          <w:szCs w:val="22"/>
        </w:rPr>
        <w:t>by supplemental letters and/or L</w:t>
      </w:r>
      <w:r w:rsidR="00E240F7" w:rsidRPr="00F0543F">
        <w:rPr>
          <w:sz w:val="22"/>
          <w:szCs w:val="22"/>
        </w:rPr>
        <w:t xml:space="preserve">oan </w:t>
      </w:r>
      <w:r w:rsidR="00187B73" w:rsidRPr="00F0543F">
        <w:rPr>
          <w:sz w:val="22"/>
          <w:szCs w:val="22"/>
        </w:rPr>
        <w:t>/G</w:t>
      </w:r>
      <w:r w:rsidR="00B04418" w:rsidRPr="00F0543F">
        <w:rPr>
          <w:sz w:val="22"/>
          <w:szCs w:val="22"/>
        </w:rPr>
        <w:t xml:space="preserve">rant </w:t>
      </w:r>
      <w:r w:rsidR="00E240F7" w:rsidRPr="00F0543F">
        <w:rPr>
          <w:sz w:val="22"/>
          <w:szCs w:val="22"/>
        </w:rPr>
        <w:t xml:space="preserve">amendments. </w:t>
      </w:r>
      <w:r w:rsidR="00AE1E28" w:rsidRPr="00F0543F">
        <w:rPr>
          <w:sz w:val="22"/>
          <w:szCs w:val="22"/>
        </w:rPr>
        <w:t>The Project Appraisal Document (PAD) Reports a</w:t>
      </w:r>
      <w:r w:rsidR="00801EA4" w:rsidRPr="00F0543F">
        <w:rPr>
          <w:sz w:val="22"/>
          <w:szCs w:val="22"/>
        </w:rPr>
        <w:t>n</w:t>
      </w:r>
      <w:r w:rsidR="00AE1E28" w:rsidRPr="00F0543F">
        <w:rPr>
          <w:sz w:val="22"/>
          <w:szCs w:val="22"/>
        </w:rPr>
        <w:t xml:space="preserve">d the operational manuals of the </w:t>
      </w:r>
      <w:r w:rsidR="00992DDC" w:rsidRPr="00F0543F">
        <w:rPr>
          <w:sz w:val="22"/>
          <w:szCs w:val="22"/>
        </w:rPr>
        <w:t>above-mentioned</w:t>
      </w:r>
      <w:r w:rsidR="00AE1E28" w:rsidRPr="00F0543F">
        <w:rPr>
          <w:sz w:val="22"/>
          <w:szCs w:val="22"/>
        </w:rPr>
        <w:t xml:space="preserve"> projects are also </w:t>
      </w:r>
      <w:r w:rsidR="00801EA4" w:rsidRPr="00F0543F">
        <w:rPr>
          <w:sz w:val="22"/>
          <w:szCs w:val="22"/>
        </w:rPr>
        <w:t>a useful source of information</w:t>
      </w:r>
      <w:r w:rsidR="00AE1E28" w:rsidRPr="00F0543F">
        <w:rPr>
          <w:sz w:val="22"/>
          <w:szCs w:val="22"/>
        </w:rPr>
        <w:t>, although they are not legally binding</w:t>
      </w:r>
      <w:r w:rsidR="00A37C82" w:rsidRPr="00F0543F">
        <w:rPr>
          <w:sz w:val="22"/>
          <w:szCs w:val="22"/>
        </w:rPr>
        <w:t>.</w:t>
      </w:r>
      <w:r w:rsidR="0044068D" w:rsidRPr="00F0543F">
        <w:rPr>
          <w:sz w:val="22"/>
          <w:szCs w:val="22"/>
        </w:rPr>
        <w:t xml:space="preserve"> </w:t>
      </w:r>
    </w:p>
    <w:p w14:paraId="07A2E9F0" w14:textId="77777777" w:rsidR="0044068D" w:rsidRPr="00F0543F" w:rsidRDefault="0044068D" w:rsidP="002C1C89">
      <w:pPr>
        <w:pStyle w:val="BodyText"/>
        <w:numPr>
          <w:ilvl w:val="0"/>
          <w:numId w:val="17"/>
        </w:numPr>
        <w:tabs>
          <w:tab w:val="left" w:pos="360"/>
        </w:tabs>
        <w:spacing w:before="120"/>
        <w:rPr>
          <w:sz w:val="22"/>
          <w:szCs w:val="22"/>
        </w:rPr>
      </w:pPr>
      <w:r w:rsidRPr="00F0543F">
        <w:rPr>
          <w:sz w:val="22"/>
          <w:szCs w:val="22"/>
        </w:rPr>
        <w:t>Below is a brief description of the projects’ objectives:</w:t>
      </w:r>
    </w:p>
    <w:p w14:paraId="0FF552D0" w14:textId="77777777" w:rsidR="00A56A63" w:rsidRPr="00F0543F" w:rsidRDefault="00A56A63" w:rsidP="00A56A63">
      <w:pPr>
        <w:jc w:val="both"/>
        <w:rPr>
          <w:sz w:val="22"/>
          <w:szCs w:val="22"/>
        </w:rPr>
      </w:pPr>
    </w:p>
    <w:p w14:paraId="34874D2C" w14:textId="77777777" w:rsidR="004256E1" w:rsidRDefault="00A56A63" w:rsidP="004256E1">
      <w:pPr>
        <w:pStyle w:val="ListParagraph"/>
        <w:numPr>
          <w:ilvl w:val="0"/>
          <w:numId w:val="31"/>
        </w:numPr>
        <w:tabs>
          <w:tab w:val="left" w:pos="360"/>
        </w:tabs>
        <w:jc w:val="both"/>
        <w:rPr>
          <w:sz w:val="22"/>
          <w:szCs w:val="22"/>
        </w:rPr>
      </w:pPr>
      <w:r w:rsidRPr="004256E1">
        <w:rPr>
          <w:b/>
          <w:bCs/>
          <w:sz w:val="22"/>
          <w:szCs w:val="22"/>
        </w:rPr>
        <w:t xml:space="preserve">The Greater Beirut Water Supply Project (IBRD#79670) </w:t>
      </w:r>
      <w:r w:rsidRPr="004256E1">
        <w:rPr>
          <w:sz w:val="22"/>
          <w:szCs w:val="22"/>
        </w:rPr>
        <w:t xml:space="preserve">loan objective is to increase the provision of potable water to the residents in the project area within the Greater Beirut region, including those in the low-income neighborhoods of Southern Beirut, and to strengthen the capacity of the Beirut Mount Lebanon Water Establishment (BMLWE) in utility operations. </w:t>
      </w:r>
    </w:p>
    <w:p w14:paraId="30052080" w14:textId="197D26BC" w:rsidR="004256E1" w:rsidRDefault="00A56A63" w:rsidP="000A7841">
      <w:pPr>
        <w:pStyle w:val="ListParagraph"/>
        <w:tabs>
          <w:tab w:val="left" w:pos="360"/>
        </w:tabs>
        <w:jc w:val="both"/>
        <w:rPr>
          <w:sz w:val="22"/>
          <w:szCs w:val="22"/>
        </w:rPr>
      </w:pPr>
      <w:r w:rsidRPr="004256E1">
        <w:rPr>
          <w:sz w:val="22"/>
          <w:szCs w:val="22"/>
        </w:rPr>
        <w:t xml:space="preserve">The World Bank is funding US$ 200 Million of which US$ 161.2 Million are under CDR’s control, following the reallocation between disbursement categories dated December 22, 2022. </w:t>
      </w:r>
    </w:p>
    <w:p w14:paraId="30B452C9" w14:textId="77777777" w:rsidR="004256E1" w:rsidRDefault="004256E1" w:rsidP="004256E1">
      <w:pPr>
        <w:pStyle w:val="ListParagraph"/>
        <w:tabs>
          <w:tab w:val="left" w:pos="360"/>
        </w:tabs>
        <w:jc w:val="both"/>
        <w:rPr>
          <w:sz w:val="22"/>
          <w:szCs w:val="22"/>
        </w:rPr>
      </w:pPr>
    </w:p>
    <w:p w14:paraId="0A086417" w14:textId="0128FA62" w:rsidR="004256E1" w:rsidRDefault="0012088C" w:rsidP="000A7841">
      <w:pPr>
        <w:pStyle w:val="ListParagraph"/>
        <w:numPr>
          <w:ilvl w:val="0"/>
          <w:numId w:val="31"/>
        </w:numPr>
        <w:tabs>
          <w:tab w:val="left" w:pos="360"/>
        </w:tabs>
        <w:jc w:val="both"/>
        <w:rPr>
          <w:sz w:val="22"/>
          <w:szCs w:val="22"/>
        </w:rPr>
      </w:pPr>
      <w:r w:rsidRPr="00F0543F">
        <w:rPr>
          <w:b/>
          <w:bCs/>
          <w:sz w:val="22"/>
          <w:szCs w:val="22"/>
        </w:rPr>
        <w:t>The Water Supply Augmentation Project (IBRD#8443)</w:t>
      </w:r>
      <w:r w:rsidR="00AC02B7" w:rsidRPr="00F0543F">
        <w:rPr>
          <w:b/>
          <w:bCs/>
          <w:sz w:val="22"/>
          <w:szCs w:val="22"/>
        </w:rPr>
        <w:t xml:space="preserve"> </w:t>
      </w:r>
      <w:r w:rsidR="00062D28" w:rsidRPr="00F0543F">
        <w:rPr>
          <w:sz w:val="22"/>
          <w:szCs w:val="22"/>
        </w:rPr>
        <w:t>seeks to</w:t>
      </w:r>
      <w:r w:rsidR="00AC02B7" w:rsidRPr="00F0543F">
        <w:rPr>
          <w:sz w:val="22"/>
          <w:szCs w:val="22"/>
        </w:rPr>
        <w:t xml:space="preserve"> increase the volume of water available to the Greate</w:t>
      </w:r>
      <w:r w:rsidR="00CB54FF" w:rsidRPr="00F0543F">
        <w:rPr>
          <w:sz w:val="22"/>
          <w:szCs w:val="22"/>
        </w:rPr>
        <w:t>r Beirut and Mount Lebanon area</w:t>
      </w:r>
      <w:r w:rsidR="00AC02B7" w:rsidRPr="00F0543F">
        <w:rPr>
          <w:sz w:val="22"/>
          <w:szCs w:val="22"/>
        </w:rPr>
        <w:t>.</w:t>
      </w:r>
      <w:r w:rsidR="00685740" w:rsidRPr="00F0543F">
        <w:rPr>
          <w:sz w:val="22"/>
          <w:szCs w:val="22"/>
        </w:rPr>
        <w:t xml:space="preserve"> This is a US$474 Million IBRD Loan, including an amount of US$155 Million financing land acquisition</w:t>
      </w:r>
      <w:r w:rsidR="00CB54FF" w:rsidRPr="00F0543F">
        <w:rPr>
          <w:sz w:val="22"/>
          <w:szCs w:val="22"/>
        </w:rPr>
        <w:t xml:space="preserve"> and resettlement compensations</w:t>
      </w:r>
      <w:r w:rsidR="00685740" w:rsidRPr="00F0543F">
        <w:rPr>
          <w:sz w:val="22"/>
          <w:szCs w:val="22"/>
        </w:rPr>
        <w:t xml:space="preserve">. It is to </w:t>
      </w:r>
      <w:r w:rsidR="00A93ED8" w:rsidRPr="00F0543F">
        <w:rPr>
          <w:sz w:val="22"/>
          <w:szCs w:val="22"/>
        </w:rPr>
        <w:t>be noted that</w:t>
      </w:r>
      <w:r w:rsidR="00685740" w:rsidRPr="00F0543F">
        <w:rPr>
          <w:sz w:val="22"/>
          <w:szCs w:val="22"/>
        </w:rPr>
        <w:t xml:space="preserve"> the project has two designated </w:t>
      </w:r>
      <w:r w:rsidR="00A93ED8" w:rsidRPr="00F0543F">
        <w:rPr>
          <w:sz w:val="22"/>
          <w:szCs w:val="22"/>
        </w:rPr>
        <w:t>accounts:</w:t>
      </w:r>
      <w:r w:rsidR="00685740" w:rsidRPr="00F0543F">
        <w:rPr>
          <w:sz w:val="22"/>
          <w:szCs w:val="22"/>
        </w:rPr>
        <w:t xml:space="preserve"> </w:t>
      </w:r>
      <w:proofErr w:type="gramStart"/>
      <w:r w:rsidR="00685740" w:rsidRPr="00F0543F">
        <w:rPr>
          <w:b/>
          <w:bCs/>
          <w:sz w:val="22"/>
          <w:szCs w:val="22"/>
        </w:rPr>
        <w:t>D.A.”A</w:t>
      </w:r>
      <w:proofErr w:type="gramEnd"/>
      <w:r w:rsidR="00685740" w:rsidRPr="00F0543F">
        <w:rPr>
          <w:sz w:val="22"/>
          <w:szCs w:val="22"/>
        </w:rPr>
        <w:t xml:space="preserve">” for the works, goods and other services and </w:t>
      </w:r>
      <w:r w:rsidR="00685740" w:rsidRPr="00F0543F">
        <w:rPr>
          <w:b/>
          <w:bCs/>
          <w:sz w:val="22"/>
          <w:szCs w:val="22"/>
        </w:rPr>
        <w:t>D.A.”B”</w:t>
      </w:r>
      <w:r w:rsidR="00685740" w:rsidRPr="00F0543F">
        <w:rPr>
          <w:sz w:val="22"/>
          <w:szCs w:val="22"/>
        </w:rPr>
        <w:t xml:space="preserve"> for the expropriation compensations</w:t>
      </w:r>
      <w:r w:rsidR="00A93ED8" w:rsidRPr="00F0543F">
        <w:rPr>
          <w:sz w:val="22"/>
          <w:szCs w:val="22"/>
        </w:rPr>
        <w:t xml:space="preserve">. </w:t>
      </w:r>
      <w:r w:rsidR="008F0C1B" w:rsidRPr="00F0543F">
        <w:rPr>
          <w:sz w:val="22"/>
          <w:szCs w:val="22"/>
        </w:rPr>
        <w:t xml:space="preserve"> </w:t>
      </w:r>
      <w:proofErr w:type="gramStart"/>
      <w:r w:rsidR="008F0C1B" w:rsidRPr="00F0543F">
        <w:rPr>
          <w:sz w:val="22"/>
          <w:szCs w:val="22"/>
        </w:rPr>
        <w:t>however</w:t>
      </w:r>
      <w:proofErr w:type="gramEnd"/>
      <w:r w:rsidR="008F0C1B" w:rsidRPr="00F0543F">
        <w:rPr>
          <w:sz w:val="22"/>
          <w:szCs w:val="22"/>
        </w:rPr>
        <w:t xml:space="preserve"> expropriat</w:t>
      </w:r>
      <w:r w:rsidR="004A0CEF" w:rsidRPr="00F0543F">
        <w:rPr>
          <w:sz w:val="22"/>
          <w:szCs w:val="22"/>
        </w:rPr>
        <w:t>ion compensations are still being settled</w:t>
      </w:r>
      <w:r w:rsidR="008F0C1B" w:rsidRPr="00F0543F">
        <w:rPr>
          <w:sz w:val="22"/>
          <w:szCs w:val="22"/>
        </w:rPr>
        <w:t xml:space="preserve"> from the Operational Account (</w:t>
      </w:r>
      <w:r w:rsidR="008F0C1B" w:rsidRPr="00F0543F">
        <w:rPr>
          <w:b/>
          <w:bCs/>
          <w:sz w:val="22"/>
          <w:szCs w:val="22"/>
        </w:rPr>
        <w:t>O.A</w:t>
      </w:r>
      <w:r w:rsidR="008F0C1B" w:rsidRPr="00F0543F">
        <w:rPr>
          <w:sz w:val="22"/>
          <w:szCs w:val="22"/>
        </w:rPr>
        <w:t>.)</w:t>
      </w:r>
      <w:r w:rsidR="005E18F9" w:rsidRPr="00F0543F">
        <w:rPr>
          <w:sz w:val="22"/>
          <w:szCs w:val="22"/>
        </w:rPr>
        <w:t>.</w:t>
      </w:r>
      <w:r w:rsidR="00C40FFF" w:rsidRPr="00F0543F">
        <w:rPr>
          <w:sz w:val="22"/>
          <w:szCs w:val="22"/>
        </w:rPr>
        <w:t xml:space="preserve"> On September 5, 2020 the World Bank cancelled a portion of USD 244 million of the allocated </w:t>
      </w:r>
      <w:r w:rsidR="00062D28" w:rsidRPr="00F0543F">
        <w:rPr>
          <w:sz w:val="22"/>
          <w:szCs w:val="22"/>
        </w:rPr>
        <w:t>(undisbursed</w:t>
      </w:r>
      <w:r w:rsidR="00C40FFF" w:rsidRPr="00F0543F">
        <w:rPr>
          <w:sz w:val="22"/>
          <w:szCs w:val="22"/>
        </w:rPr>
        <w:t xml:space="preserve">) amount under Category </w:t>
      </w:r>
      <w:r w:rsidR="004866C9" w:rsidRPr="00F0543F">
        <w:rPr>
          <w:sz w:val="22"/>
          <w:szCs w:val="22"/>
        </w:rPr>
        <w:t xml:space="preserve">(1) </w:t>
      </w:r>
      <w:r w:rsidR="00C40FFF" w:rsidRPr="00F0543F">
        <w:rPr>
          <w:sz w:val="22"/>
          <w:szCs w:val="22"/>
        </w:rPr>
        <w:t>of the Loan related</w:t>
      </w:r>
      <w:r w:rsidR="004866C9" w:rsidRPr="00F0543F">
        <w:rPr>
          <w:sz w:val="22"/>
          <w:szCs w:val="22"/>
        </w:rPr>
        <w:t xml:space="preserve"> to the construction of the Dam</w:t>
      </w:r>
      <w:r w:rsidR="007A70E7" w:rsidRPr="00F0543F">
        <w:rPr>
          <w:sz w:val="22"/>
          <w:szCs w:val="22"/>
        </w:rPr>
        <w:t xml:space="preserve">. Category 2 </w:t>
      </w:r>
      <w:r w:rsidR="00062D28" w:rsidRPr="00F0543F">
        <w:rPr>
          <w:sz w:val="22"/>
          <w:szCs w:val="22"/>
        </w:rPr>
        <w:t>(the</w:t>
      </w:r>
      <w:r w:rsidR="007A70E7" w:rsidRPr="00F0543F">
        <w:rPr>
          <w:sz w:val="22"/>
          <w:szCs w:val="22"/>
        </w:rPr>
        <w:t xml:space="preserve"> Expropriation </w:t>
      </w:r>
      <w:r w:rsidR="00062D28" w:rsidRPr="00F0543F">
        <w:rPr>
          <w:sz w:val="22"/>
          <w:szCs w:val="22"/>
        </w:rPr>
        <w:t>Part)</w:t>
      </w:r>
      <w:r w:rsidR="00190A4B" w:rsidRPr="00F0543F">
        <w:rPr>
          <w:sz w:val="22"/>
          <w:szCs w:val="22"/>
        </w:rPr>
        <w:t xml:space="preserve"> was </w:t>
      </w:r>
      <w:r w:rsidR="007A70E7" w:rsidRPr="00F0543F">
        <w:rPr>
          <w:sz w:val="22"/>
          <w:szCs w:val="22"/>
        </w:rPr>
        <w:t>unaffected by the cancellation.</w:t>
      </w:r>
      <w:r w:rsidR="00213391" w:rsidRPr="00F0543F">
        <w:rPr>
          <w:sz w:val="22"/>
          <w:szCs w:val="22"/>
        </w:rPr>
        <w:t xml:space="preserve"> On February 17, 2022, the World Bank decided to suspend disbursements under Category (1).</w:t>
      </w:r>
    </w:p>
    <w:p w14:paraId="726C410A" w14:textId="77777777" w:rsidR="004256E1" w:rsidRPr="004256E1" w:rsidRDefault="004256E1" w:rsidP="004256E1">
      <w:pPr>
        <w:pStyle w:val="ListParagraph"/>
        <w:tabs>
          <w:tab w:val="left" w:pos="360"/>
        </w:tabs>
        <w:jc w:val="both"/>
        <w:rPr>
          <w:sz w:val="22"/>
          <w:szCs w:val="22"/>
        </w:rPr>
      </w:pPr>
    </w:p>
    <w:p w14:paraId="406733C6" w14:textId="2C528AEF" w:rsidR="004256E1" w:rsidRDefault="00957D65" w:rsidP="000A7841">
      <w:pPr>
        <w:pStyle w:val="ListParagraph"/>
        <w:numPr>
          <w:ilvl w:val="0"/>
          <w:numId w:val="31"/>
        </w:numPr>
        <w:tabs>
          <w:tab w:val="left" w:pos="360"/>
        </w:tabs>
        <w:jc w:val="both"/>
        <w:rPr>
          <w:sz w:val="22"/>
          <w:szCs w:val="22"/>
        </w:rPr>
      </w:pPr>
      <w:r w:rsidRPr="004256E1">
        <w:rPr>
          <w:b/>
          <w:bCs/>
          <w:sz w:val="22"/>
          <w:szCs w:val="22"/>
          <w:lang w:eastAsia="zh-CN"/>
        </w:rPr>
        <w:t xml:space="preserve">The Lake </w:t>
      </w:r>
      <w:proofErr w:type="spellStart"/>
      <w:r w:rsidRPr="004256E1">
        <w:rPr>
          <w:b/>
          <w:bCs/>
          <w:sz w:val="22"/>
          <w:szCs w:val="22"/>
          <w:lang w:eastAsia="zh-CN"/>
        </w:rPr>
        <w:t>Qaraoun</w:t>
      </w:r>
      <w:proofErr w:type="spellEnd"/>
      <w:r w:rsidRPr="004256E1">
        <w:rPr>
          <w:b/>
          <w:bCs/>
          <w:sz w:val="22"/>
          <w:szCs w:val="22"/>
          <w:lang w:eastAsia="zh-CN"/>
        </w:rPr>
        <w:t xml:space="preserve"> Pollution Prevention Project </w:t>
      </w:r>
      <w:r w:rsidRPr="004256E1">
        <w:rPr>
          <w:b/>
          <w:bCs/>
          <w:sz w:val="22"/>
          <w:szCs w:val="22"/>
        </w:rPr>
        <w:t>(IBRD#8637</w:t>
      </w:r>
      <w:r w:rsidRPr="004256E1">
        <w:rPr>
          <w:sz w:val="22"/>
          <w:szCs w:val="22"/>
        </w:rPr>
        <w:t xml:space="preserve">) seeks to reduce the quantity of untreated municipal sewage discharged into the </w:t>
      </w:r>
      <w:proofErr w:type="spellStart"/>
      <w:r w:rsidRPr="004256E1">
        <w:rPr>
          <w:sz w:val="22"/>
          <w:szCs w:val="22"/>
        </w:rPr>
        <w:t>Litani</w:t>
      </w:r>
      <w:proofErr w:type="spellEnd"/>
      <w:r w:rsidRPr="004256E1">
        <w:rPr>
          <w:sz w:val="22"/>
          <w:szCs w:val="22"/>
        </w:rPr>
        <w:t xml:space="preserve"> river and to improve pollution management around </w:t>
      </w:r>
      <w:proofErr w:type="spellStart"/>
      <w:r w:rsidRPr="004256E1">
        <w:rPr>
          <w:sz w:val="22"/>
          <w:szCs w:val="22"/>
        </w:rPr>
        <w:t>Qaraoun</w:t>
      </w:r>
      <w:proofErr w:type="spellEnd"/>
      <w:r w:rsidRPr="004256E1">
        <w:rPr>
          <w:sz w:val="22"/>
          <w:szCs w:val="22"/>
        </w:rPr>
        <w:t xml:space="preserve"> Lake. This loan is effective since December 13, 2016 and is a US$ 55 Million loan funded by the World Bank. </w:t>
      </w:r>
    </w:p>
    <w:p w14:paraId="661F8FB6" w14:textId="70FD5695" w:rsidR="004256E1" w:rsidRPr="004256E1" w:rsidRDefault="004256E1" w:rsidP="004256E1">
      <w:pPr>
        <w:tabs>
          <w:tab w:val="left" w:pos="360"/>
        </w:tabs>
        <w:jc w:val="both"/>
        <w:rPr>
          <w:sz w:val="22"/>
          <w:szCs w:val="22"/>
        </w:rPr>
      </w:pPr>
    </w:p>
    <w:p w14:paraId="1BBD7CE6" w14:textId="4D8C854D" w:rsidR="004256E1" w:rsidRDefault="00957D65" w:rsidP="000A7841">
      <w:pPr>
        <w:pStyle w:val="ListParagraph"/>
        <w:numPr>
          <w:ilvl w:val="0"/>
          <w:numId w:val="31"/>
        </w:numPr>
        <w:tabs>
          <w:tab w:val="left" w:pos="360"/>
        </w:tabs>
        <w:jc w:val="both"/>
        <w:rPr>
          <w:sz w:val="22"/>
          <w:szCs w:val="22"/>
        </w:rPr>
      </w:pPr>
      <w:r w:rsidRPr="004256E1">
        <w:rPr>
          <w:b/>
          <w:bCs/>
          <w:sz w:val="22"/>
          <w:szCs w:val="22"/>
        </w:rPr>
        <w:lastRenderedPageBreak/>
        <w:t>The Roads and Employment Project (IBRD#8705-TF0A4481)</w:t>
      </w:r>
      <w:r w:rsidRPr="004256E1">
        <w:rPr>
          <w:sz w:val="22"/>
          <w:szCs w:val="22"/>
        </w:rPr>
        <w:t xml:space="preserve"> seeks to improve transport connectivity along paved road sections and create short term jobs for Lebanese and Syrians.</w:t>
      </w:r>
      <w:r w:rsidR="00E8137B" w:rsidRPr="004256E1">
        <w:rPr>
          <w:sz w:val="22"/>
          <w:szCs w:val="22"/>
        </w:rPr>
        <w:t xml:space="preserve"> </w:t>
      </w:r>
      <w:r w:rsidRPr="004256E1">
        <w:rPr>
          <w:sz w:val="22"/>
          <w:szCs w:val="22"/>
        </w:rPr>
        <w:t xml:space="preserve">This loan is effective since October 30, 2018 and is a US$ 200 Million loan funded by the World Bank consisting of the following(a)- a non-concessional portion of the Loan in an amount of US$ 154.6 Million (b)a concessional portion of the Loan in an amount of US$ 45.4 Million. </w:t>
      </w:r>
    </w:p>
    <w:p w14:paraId="0790D176" w14:textId="77777777" w:rsidR="004256E1" w:rsidRPr="004256E1" w:rsidRDefault="004256E1" w:rsidP="004256E1">
      <w:pPr>
        <w:pStyle w:val="ListParagraph"/>
        <w:rPr>
          <w:b/>
          <w:bCs/>
          <w:sz w:val="22"/>
          <w:szCs w:val="22"/>
        </w:rPr>
      </w:pPr>
    </w:p>
    <w:p w14:paraId="4E3D7E52" w14:textId="77777777" w:rsidR="004256E1" w:rsidRDefault="00957D65" w:rsidP="004256E1">
      <w:pPr>
        <w:pStyle w:val="ListParagraph"/>
        <w:numPr>
          <w:ilvl w:val="0"/>
          <w:numId w:val="31"/>
        </w:numPr>
        <w:tabs>
          <w:tab w:val="left" w:pos="360"/>
        </w:tabs>
        <w:jc w:val="both"/>
        <w:rPr>
          <w:sz w:val="22"/>
          <w:szCs w:val="22"/>
        </w:rPr>
      </w:pPr>
      <w:r w:rsidRPr="004256E1">
        <w:rPr>
          <w:b/>
          <w:bCs/>
          <w:sz w:val="22"/>
          <w:szCs w:val="22"/>
        </w:rPr>
        <w:t>The</w:t>
      </w:r>
      <w:r w:rsidRPr="004256E1">
        <w:rPr>
          <w:sz w:val="22"/>
          <w:szCs w:val="22"/>
        </w:rPr>
        <w:t xml:space="preserve"> </w:t>
      </w:r>
      <w:r w:rsidRPr="004256E1">
        <w:rPr>
          <w:b/>
          <w:bCs/>
          <w:sz w:val="22"/>
          <w:szCs w:val="22"/>
          <w:lang w:eastAsia="zh-CN"/>
        </w:rPr>
        <w:t xml:space="preserve">Greater Beirut Public Transport Project </w:t>
      </w:r>
      <w:r w:rsidRPr="004256E1">
        <w:rPr>
          <w:b/>
          <w:bCs/>
          <w:sz w:val="22"/>
          <w:szCs w:val="22"/>
        </w:rPr>
        <w:t>(IBRD#8838- TF#0A7880</w:t>
      </w:r>
      <w:r w:rsidRPr="004256E1">
        <w:rPr>
          <w:sz w:val="22"/>
          <w:szCs w:val="22"/>
        </w:rPr>
        <w:t xml:space="preserve">) loan objective is to improve the speed, quality and accessibility of public transport for passengers in Greater Beirut and at the city of Beirut’s northern entrance. This loan is effective since July 31, 2019 and is a US$ 225.2 Million loan and 69,8 Million grant funded by the World Bank. </w:t>
      </w:r>
    </w:p>
    <w:p w14:paraId="3DF9F54C" w14:textId="575D20FD" w:rsidR="004A0C6E" w:rsidRPr="004256E1" w:rsidRDefault="002E57AD" w:rsidP="000A7841">
      <w:pPr>
        <w:tabs>
          <w:tab w:val="left" w:pos="360"/>
        </w:tabs>
        <w:ind w:left="720"/>
        <w:jc w:val="both"/>
        <w:rPr>
          <w:sz w:val="22"/>
          <w:szCs w:val="22"/>
        </w:rPr>
      </w:pPr>
      <w:r w:rsidRPr="004256E1">
        <w:rPr>
          <w:sz w:val="22"/>
          <w:szCs w:val="22"/>
        </w:rPr>
        <w:t xml:space="preserve">No disbursement was made during the year </w:t>
      </w:r>
      <w:r w:rsidR="000A7841" w:rsidRPr="004256E1">
        <w:rPr>
          <w:sz w:val="22"/>
          <w:szCs w:val="22"/>
        </w:rPr>
        <w:t>202</w:t>
      </w:r>
      <w:r w:rsidR="000A7841">
        <w:rPr>
          <w:sz w:val="22"/>
          <w:szCs w:val="22"/>
        </w:rPr>
        <w:t>4</w:t>
      </w:r>
      <w:r w:rsidR="004A0C6E" w:rsidRPr="004256E1">
        <w:rPr>
          <w:sz w:val="22"/>
          <w:szCs w:val="22"/>
        </w:rPr>
        <w:t xml:space="preserve">. On June 30, 2022 the World Bank cancelled the undisbursed loan </w:t>
      </w:r>
      <w:r w:rsidR="00190A4B" w:rsidRPr="004256E1">
        <w:rPr>
          <w:sz w:val="22"/>
          <w:szCs w:val="22"/>
        </w:rPr>
        <w:t>amounting to</w:t>
      </w:r>
      <w:r w:rsidR="004A0C6E" w:rsidRPr="004256E1">
        <w:rPr>
          <w:sz w:val="22"/>
          <w:szCs w:val="22"/>
        </w:rPr>
        <w:t xml:space="preserve"> US$ 283.67 Million.</w:t>
      </w:r>
    </w:p>
    <w:p w14:paraId="39444232" w14:textId="77777777" w:rsidR="00B31963" w:rsidRPr="00F0543F" w:rsidRDefault="00B31963" w:rsidP="00957D65">
      <w:pPr>
        <w:pStyle w:val="Outline1"/>
        <w:numPr>
          <w:ilvl w:val="0"/>
          <w:numId w:val="0"/>
        </w:numPr>
        <w:rPr>
          <w:sz w:val="22"/>
          <w:szCs w:val="22"/>
        </w:rPr>
      </w:pPr>
    </w:p>
    <w:p w14:paraId="0AAC4CFD" w14:textId="77777777" w:rsidR="00B81B21" w:rsidRPr="00F0543F" w:rsidRDefault="00B81B21" w:rsidP="00B81B21">
      <w:pPr>
        <w:pStyle w:val="Outline1"/>
        <w:keepNext w:val="0"/>
        <w:numPr>
          <w:ilvl w:val="0"/>
          <w:numId w:val="0"/>
        </w:numPr>
        <w:tabs>
          <w:tab w:val="left" w:pos="720"/>
        </w:tabs>
        <w:spacing w:before="0"/>
        <w:jc w:val="both"/>
        <w:rPr>
          <w:b/>
          <w:kern w:val="0"/>
          <w:sz w:val="22"/>
          <w:szCs w:val="22"/>
        </w:rPr>
      </w:pPr>
      <w:r w:rsidRPr="00F0543F">
        <w:rPr>
          <w:b/>
          <w:kern w:val="0"/>
          <w:sz w:val="22"/>
          <w:szCs w:val="22"/>
        </w:rPr>
        <w:t>Context</w:t>
      </w:r>
    </w:p>
    <w:p w14:paraId="0F122AB4" w14:textId="77777777" w:rsidR="00B81B21" w:rsidRPr="00F0543F" w:rsidRDefault="00B81B21" w:rsidP="00B81B21">
      <w:pPr>
        <w:jc w:val="both"/>
        <w:rPr>
          <w:sz w:val="22"/>
          <w:szCs w:val="22"/>
        </w:rPr>
      </w:pPr>
    </w:p>
    <w:p w14:paraId="46FCF5FC" w14:textId="77777777" w:rsidR="00B81B21" w:rsidRPr="00F0543F" w:rsidRDefault="00B81B21" w:rsidP="004256E1">
      <w:pPr>
        <w:numPr>
          <w:ilvl w:val="0"/>
          <w:numId w:val="17"/>
        </w:numPr>
        <w:autoSpaceDE w:val="0"/>
        <w:adjustRightInd w:val="0"/>
        <w:jc w:val="both"/>
        <w:rPr>
          <w:sz w:val="22"/>
          <w:szCs w:val="22"/>
        </w:rPr>
      </w:pPr>
      <w:bookmarkStart w:id="2" w:name="Place"/>
      <w:bookmarkEnd w:id="2"/>
      <w:r w:rsidRPr="00F0543F">
        <w:rPr>
          <w:sz w:val="22"/>
          <w:szCs w:val="22"/>
        </w:rPr>
        <w:t xml:space="preserve">According </w:t>
      </w:r>
      <w:r w:rsidR="00752B20" w:rsidRPr="00F0543F">
        <w:rPr>
          <w:sz w:val="22"/>
          <w:szCs w:val="22"/>
        </w:rPr>
        <w:t>to Schedule 2 section II, part B of the</w:t>
      </w:r>
      <w:r w:rsidR="006B7B16" w:rsidRPr="00F0543F">
        <w:rPr>
          <w:sz w:val="22"/>
          <w:szCs w:val="22"/>
        </w:rPr>
        <w:t xml:space="preserve"> Loan </w:t>
      </w:r>
      <w:r w:rsidR="00062D28" w:rsidRPr="00F0543F">
        <w:rPr>
          <w:sz w:val="22"/>
          <w:szCs w:val="22"/>
        </w:rPr>
        <w:t>and Grant</w:t>
      </w:r>
      <w:r w:rsidR="00752B20" w:rsidRPr="00F0543F">
        <w:rPr>
          <w:sz w:val="22"/>
          <w:szCs w:val="22"/>
        </w:rPr>
        <w:t xml:space="preserve"> agreement</w:t>
      </w:r>
      <w:r w:rsidR="007F2ACB" w:rsidRPr="00F0543F">
        <w:rPr>
          <w:sz w:val="22"/>
          <w:szCs w:val="22"/>
        </w:rPr>
        <w:t>s</w:t>
      </w:r>
      <w:r w:rsidR="00752B20" w:rsidRPr="00F0543F">
        <w:rPr>
          <w:sz w:val="22"/>
          <w:szCs w:val="22"/>
        </w:rPr>
        <w:t>, the</w:t>
      </w:r>
      <w:r w:rsidRPr="00F0543F">
        <w:rPr>
          <w:sz w:val="22"/>
          <w:szCs w:val="22"/>
        </w:rPr>
        <w:t xml:space="preserve"> </w:t>
      </w:r>
      <w:r w:rsidR="00AA6890" w:rsidRPr="00F0543F">
        <w:rPr>
          <w:sz w:val="22"/>
          <w:szCs w:val="22"/>
        </w:rPr>
        <w:t xml:space="preserve">Governing Body of the Project through the PMU </w:t>
      </w:r>
      <w:r w:rsidR="00752B20" w:rsidRPr="00F0543F">
        <w:rPr>
          <w:sz w:val="22"/>
          <w:szCs w:val="22"/>
        </w:rPr>
        <w:t>shall</w:t>
      </w:r>
      <w:r w:rsidRPr="00F0543F">
        <w:rPr>
          <w:sz w:val="22"/>
          <w:szCs w:val="22"/>
        </w:rPr>
        <w:t xml:space="preserve"> at all times maintain a financial management system, including records and accounts, and prepare </w:t>
      </w:r>
      <w:r w:rsidR="00663D65" w:rsidRPr="00F0543F">
        <w:rPr>
          <w:sz w:val="22"/>
          <w:szCs w:val="22"/>
        </w:rPr>
        <w:t xml:space="preserve">project </w:t>
      </w:r>
      <w:r w:rsidRPr="00F0543F">
        <w:rPr>
          <w:sz w:val="22"/>
          <w:szCs w:val="22"/>
        </w:rPr>
        <w:t>financial statements in a format acceptable to the World Bank and adequate to reflect the operations, resources and expenditures related to the Project</w:t>
      </w:r>
      <w:r w:rsidR="001F3915" w:rsidRPr="00F0543F">
        <w:rPr>
          <w:sz w:val="22"/>
          <w:szCs w:val="22"/>
        </w:rPr>
        <w:t>s</w:t>
      </w:r>
      <w:r w:rsidRPr="00F0543F">
        <w:rPr>
          <w:sz w:val="22"/>
          <w:szCs w:val="22"/>
        </w:rPr>
        <w:t xml:space="preserve">. Also the </w:t>
      </w:r>
      <w:r w:rsidR="00AA6890" w:rsidRPr="00F0543F">
        <w:rPr>
          <w:sz w:val="22"/>
          <w:szCs w:val="22"/>
        </w:rPr>
        <w:t xml:space="preserve">Governing body </w:t>
      </w:r>
      <w:r w:rsidRPr="00F0543F">
        <w:rPr>
          <w:sz w:val="22"/>
          <w:szCs w:val="22"/>
        </w:rPr>
        <w:t>shall maintain records and supporting documents for all expenditures with respect to which withdrawals from the Loan</w:t>
      </w:r>
      <w:r w:rsidR="00187B73" w:rsidRPr="00F0543F">
        <w:rPr>
          <w:sz w:val="22"/>
          <w:szCs w:val="22"/>
        </w:rPr>
        <w:t>/ G</w:t>
      </w:r>
      <w:r w:rsidR="00FC1D2C" w:rsidRPr="00F0543F">
        <w:rPr>
          <w:sz w:val="22"/>
          <w:szCs w:val="22"/>
        </w:rPr>
        <w:t>rant a</w:t>
      </w:r>
      <w:r w:rsidRPr="00F0543F">
        <w:rPr>
          <w:sz w:val="22"/>
          <w:szCs w:val="22"/>
        </w:rPr>
        <w:t xml:space="preserve">ccount were </w:t>
      </w:r>
      <w:r w:rsidR="00062D28" w:rsidRPr="00F0543F">
        <w:rPr>
          <w:sz w:val="22"/>
          <w:szCs w:val="22"/>
        </w:rPr>
        <w:t>made (</w:t>
      </w:r>
      <w:r w:rsidRPr="00F0543F">
        <w:rPr>
          <w:sz w:val="22"/>
          <w:szCs w:val="22"/>
        </w:rPr>
        <w:t>the records should reflect all categories of withdrawals</w:t>
      </w:r>
      <w:r w:rsidR="00FC48B9" w:rsidRPr="00F0543F">
        <w:rPr>
          <w:sz w:val="22"/>
          <w:szCs w:val="22"/>
        </w:rPr>
        <w:t>,</w:t>
      </w:r>
      <w:r w:rsidRPr="00F0543F">
        <w:rPr>
          <w:sz w:val="22"/>
          <w:szCs w:val="22"/>
        </w:rPr>
        <w:t xml:space="preserve"> SOEs, direct payments and replenishments of Special</w:t>
      </w:r>
      <w:r w:rsidR="00BC50AB" w:rsidRPr="00F0543F">
        <w:rPr>
          <w:sz w:val="22"/>
          <w:szCs w:val="22"/>
        </w:rPr>
        <w:t>/Designated</w:t>
      </w:r>
      <w:r w:rsidRPr="00F0543F">
        <w:rPr>
          <w:sz w:val="22"/>
          <w:szCs w:val="22"/>
        </w:rPr>
        <w:t xml:space="preserve"> Accounts). </w:t>
      </w:r>
      <w:r w:rsidR="00A54EFB" w:rsidRPr="00F0543F">
        <w:rPr>
          <w:sz w:val="22"/>
          <w:szCs w:val="22"/>
        </w:rPr>
        <w:t xml:space="preserve">For </w:t>
      </w:r>
      <w:r w:rsidR="00031796" w:rsidRPr="00F0543F">
        <w:rPr>
          <w:sz w:val="22"/>
          <w:szCs w:val="22"/>
        </w:rPr>
        <w:t xml:space="preserve">all projects except </w:t>
      </w:r>
      <w:r w:rsidR="00390FB7" w:rsidRPr="00F0543F">
        <w:rPr>
          <w:sz w:val="22"/>
          <w:szCs w:val="22"/>
        </w:rPr>
        <w:t>the Greater Beirut Water Supply Project,</w:t>
      </w:r>
      <w:r w:rsidR="00031796" w:rsidRPr="00F0543F">
        <w:rPr>
          <w:sz w:val="22"/>
          <w:szCs w:val="22"/>
        </w:rPr>
        <w:t xml:space="preserve"> </w:t>
      </w:r>
      <w:r w:rsidR="00A82849" w:rsidRPr="00F0543F">
        <w:rPr>
          <w:sz w:val="22"/>
          <w:szCs w:val="22"/>
        </w:rPr>
        <w:t xml:space="preserve">only the </w:t>
      </w:r>
      <w:r w:rsidR="00031796" w:rsidRPr="00F0543F">
        <w:rPr>
          <w:sz w:val="22"/>
          <w:szCs w:val="22"/>
        </w:rPr>
        <w:t xml:space="preserve">CDR will be required to comply with the World Bank Procurement Guidelines for the </w:t>
      </w:r>
      <w:r w:rsidR="00A54EFB" w:rsidRPr="00F0543F">
        <w:rPr>
          <w:sz w:val="22"/>
          <w:szCs w:val="22"/>
        </w:rPr>
        <w:t>procurement of goods and services to the Project</w:t>
      </w:r>
      <w:r w:rsidR="000C2B54" w:rsidRPr="00F0543F">
        <w:rPr>
          <w:sz w:val="22"/>
          <w:szCs w:val="22"/>
        </w:rPr>
        <w:t>s</w:t>
      </w:r>
      <w:r w:rsidR="00002E66" w:rsidRPr="00F0543F">
        <w:rPr>
          <w:sz w:val="22"/>
          <w:szCs w:val="22"/>
        </w:rPr>
        <w:t>.</w:t>
      </w:r>
      <w:r w:rsidR="004F5DCA" w:rsidRPr="00F0543F">
        <w:rPr>
          <w:sz w:val="22"/>
          <w:szCs w:val="22"/>
        </w:rPr>
        <w:t xml:space="preserve"> </w:t>
      </w:r>
      <w:r w:rsidR="0074599B" w:rsidRPr="00F0543F">
        <w:rPr>
          <w:sz w:val="22"/>
          <w:szCs w:val="22"/>
        </w:rPr>
        <w:t xml:space="preserve">For </w:t>
      </w:r>
      <w:r w:rsidR="00390FB7" w:rsidRPr="00F0543F">
        <w:rPr>
          <w:sz w:val="22"/>
          <w:szCs w:val="22"/>
        </w:rPr>
        <w:t>the GBWSP the Beirut &amp; Mount Lebanon Water Establishment should</w:t>
      </w:r>
      <w:r w:rsidR="00BC2B17" w:rsidRPr="00F0543F">
        <w:rPr>
          <w:sz w:val="22"/>
          <w:szCs w:val="22"/>
        </w:rPr>
        <w:t xml:space="preserve"> abide by the World Bank’s Procurement Guidelines while i</w:t>
      </w:r>
      <w:r w:rsidR="004F5DCA" w:rsidRPr="00F0543F">
        <w:rPr>
          <w:sz w:val="22"/>
          <w:szCs w:val="22"/>
        </w:rPr>
        <w:t xml:space="preserve">mplementing the </w:t>
      </w:r>
      <w:r w:rsidR="00390FB7" w:rsidRPr="00F0543F">
        <w:rPr>
          <w:sz w:val="22"/>
          <w:szCs w:val="22"/>
        </w:rPr>
        <w:t xml:space="preserve">related </w:t>
      </w:r>
      <w:r w:rsidR="00BC2B17" w:rsidRPr="00F0543F">
        <w:rPr>
          <w:sz w:val="22"/>
          <w:szCs w:val="22"/>
        </w:rPr>
        <w:t>component</w:t>
      </w:r>
      <w:r w:rsidR="00390FB7" w:rsidRPr="00F0543F">
        <w:rPr>
          <w:sz w:val="22"/>
          <w:szCs w:val="22"/>
        </w:rPr>
        <w:t>s</w:t>
      </w:r>
      <w:r w:rsidR="00BC2B17" w:rsidRPr="00F0543F">
        <w:rPr>
          <w:sz w:val="22"/>
          <w:szCs w:val="22"/>
        </w:rPr>
        <w:t xml:space="preserve"> of the project</w:t>
      </w:r>
      <w:r w:rsidR="00390FB7" w:rsidRPr="00F0543F">
        <w:rPr>
          <w:sz w:val="22"/>
          <w:szCs w:val="22"/>
        </w:rPr>
        <w:t>s</w:t>
      </w:r>
      <w:r w:rsidR="00BC2B17" w:rsidRPr="00F0543F">
        <w:rPr>
          <w:sz w:val="22"/>
          <w:szCs w:val="22"/>
        </w:rPr>
        <w:t>.</w:t>
      </w:r>
      <w:r w:rsidR="0074599B" w:rsidRPr="00F0543F">
        <w:rPr>
          <w:sz w:val="22"/>
          <w:szCs w:val="22"/>
        </w:rPr>
        <w:t xml:space="preserve"> </w:t>
      </w:r>
    </w:p>
    <w:p w14:paraId="7175A008" w14:textId="77777777" w:rsidR="008D03C7" w:rsidRPr="00F0543F" w:rsidRDefault="008D03C7" w:rsidP="008D03C7">
      <w:pPr>
        <w:tabs>
          <w:tab w:val="left" w:pos="0"/>
        </w:tabs>
        <w:autoSpaceDE w:val="0"/>
        <w:adjustRightInd w:val="0"/>
        <w:ind w:left="360"/>
        <w:jc w:val="both"/>
        <w:rPr>
          <w:sz w:val="22"/>
          <w:szCs w:val="22"/>
        </w:rPr>
      </w:pPr>
    </w:p>
    <w:p w14:paraId="48894ACB" w14:textId="77777777" w:rsidR="00017002" w:rsidRPr="00F0543F" w:rsidRDefault="00B81B21" w:rsidP="004766FA">
      <w:pPr>
        <w:pStyle w:val="Heading5"/>
        <w:numPr>
          <w:ilvl w:val="0"/>
          <w:numId w:val="17"/>
        </w:numPr>
        <w:tabs>
          <w:tab w:val="left" w:pos="0"/>
          <w:tab w:val="left" w:pos="360"/>
        </w:tabs>
        <w:jc w:val="both"/>
        <w:rPr>
          <w:sz w:val="22"/>
          <w:szCs w:val="22"/>
        </w:rPr>
      </w:pPr>
      <w:r w:rsidRPr="00F0543F">
        <w:rPr>
          <w:sz w:val="22"/>
          <w:szCs w:val="22"/>
        </w:rPr>
        <w:t xml:space="preserve">The </w:t>
      </w:r>
      <w:r w:rsidR="00C76A19" w:rsidRPr="00F0543F">
        <w:rPr>
          <w:sz w:val="22"/>
          <w:szCs w:val="22"/>
        </w:rPr>
        <w:t xml:space="preserve">General Purpose </w:t>
      </w:r>
      <w:r w:rsidRPr="00F0543F">
        <w:rPr>
          <w:sz w:val="22"/>
          <w:szCs w:val="22"/>
        </w:rPr>
        <w:t xml:space="preserve">Project Financial Statements (“PFS”) </w:t>
      </w:r>
      <w:r w:rsidR="00C76A19" w:rsidRPr="00F0543F">
        <w:rPr>
          <w:rStyle w:val="EndnoteReference"/>
          <w:sz w:val="22"/>
          <w:szCs w:val="22"/>
        </w:rPr>
        <w:endnoteReference w:id="1"/>
      </w:r>
      <w:r w:rsidRPr="00F0543F">
        <w:rPr>
          <w:sz w:val="22"/>
          <w:szCs w:val="22"/>
        </w:rPr>
        <w:t>are comprised of</w:t>
      </w:r>
      <w:r w:rsidR="001E64AF" w:rsidRPr="00F0543F">
        <w:rPr>
          <w:sz w:val="22"/>
          <w:szCs w:val="22"/>
        </w:rPr>
        <w:t xml:space="preserve"> a</w:t>
      </w:r>
      <w:r w:rsidRPr="00F0543F">
        <w:rPr>
          <w:sz w:val="22"/>
          <w:szCs w:val="22"/>
        </w:rPr>
        <w:t xml:space="preserve"> (i) Statement of </w:t>
      </w:r>
      <w:r w:rsidR="00C76A19" w:rsidRPr="00F0543F">
        <w:rPr>
          <w:sz w:val="22"/>
          <w:szCs w:val="22"/>
        </w:rPr>
        <w:t xml:space="preserve">Cash Receipts and Payments </w:t>
      </w:r>
      <w:r w:rsidRPr="00F0543F">
        <w:rPr>
          <w:sz w:val="22"/>
          <w:szCs w:val="22"/>
        </w:rPr>
        <w:t>for the year then ending and cumulatively from inception date up till the year ending</w:t>
      </w:r>
      <w:r w:rsidR="00FD24A9" w:rsidRPr="00F0543F">
        <w:rPr>
          <w:sz w:val="22"/>
          <w:szCs w:val="22"/>
        </w:rPr>
        <w:t xml:space="preserve"> including funds received from various sources</w:t>
      </w:r>
      <w:r w:rsidRPr="00F0543F">
        <w:rPr>
          <w:sz w:val="22"/>
          <w:szCs w:val="22"/>
        </w:rPr>
        <w:t xml:space="preserve"> (ii) </w:t>
      </w:r>
      <w:r w:rsidR="004251D0" w:rsidRPr="00F0543F">
        <w:rPr>
          <w:sz w:val="22"/>
          <w:szCs w:val="22"/>
        </w:rPr>
        <w:t xml:space="preserve">Statement of </w:t>
      </w:r>
      <w:r w:rsidR="00C76A19" w:rsidRPr="00F0543F">
        <w:rPr>
          <w:sz w:val="22"/>
          <w:szCs w:val="22"/>
        </w:rPr>
        <w:t xml:space="preserve">Cash Payments </w:t>
      </w:r>
      <w:r w:rsidR="00FD24A9" w:rsidRPr="00F0543F">
        <w:rPr>
          <w:sz w:val="22"/>
          <w:szCs w:val="22"/>
        </w:rPr>
        <w:t xml:space="preserve">classifying </w:t>
      </w:r>
      <w:r w:rsidR="00C76A19" w:rsidRPr="00F0543F">
        <w:rPr>
          <w:sz w:val="22"/>
          <w:szCs w:val="22"/>
        </w:rPr>
        <w:t xml:space="preserve">the uses of funds i.e. </w:t>
      </w:r>
      <w:r w:rsidR="00FD24A9" w:rsidRPr="00F0543F">
        <w:rPr>
          <w:sz w:val="22"/>
          <w:szCs w:val="22"/>
        </w:rPr>
        <w:t xml:space="preserve">project expenditures by component showing yearly and cumulative balances (iii) </w:t>
      </w:r>
      <w:r w:rsidRPr="00F0543F">
        <w:rPr>
          <w:sz w:val="22"/>
          <w:szCs w:val="22"/>
        </w:rPr>
        <w:t>Reconciliation statement for the balance of the Project’s Special</w:t>
      </w:r>
      <w:r w:rsidR="00BC50AB" w:rsidRPr="00F0543F">
        <w:rPr>
          <w:sz w:val="22"/>
          <w:szCs w:val="22"/>
        </w:rPr>
        <w:t>/ Designated</w:t>
      </w:r>
      <w:r w:rsidRPr="00F0543F">
        <w:rPr>
          <w:sz w:val="22"/>
          <w:szCs w:val="22"/>
        </w:rPr>
        <w:t xml:space="preserve"> Account as of </w:t>
      </w:r>
      <w:proofErr w:type="spellStart"/>
      <w:r w:rsidRPr="00F0543F">
        <w:rPr>
          <w:sz w:val="22"/>
          <w:szCs w:val="22"/>
        </w:rPr>
        <w:t>year end</w:t>
      </w:r>
      <w:proofErr w:type="spellEnd"/>
      <w:r w:rsidRPr="00F0543F">
        <w:rPr>
          <w:sz w:val="22"/>
          <w:szCs w:val="22"/>
        </w:rPr>
        <w:t xml:space="preserve"> showing the opening &amp; closing balances</w:t>
      </w:r>
      <w:r w:rsidR="00B3703D" w:rsidRPr="00F0543F">
        <w:rPr>
          <w:sz w:val="22"/>
          <w:szCs w:val="22"/>
        </w:rPr>
        <w:t xml:space="preserve"> </w:t>
      </w:r>
      <w:r w:rsidRPr="00F0543F">
        <w:rPr>
          <w:sz w:val="22"/>
          <w:szCs w:val="22"/>
        </w:rPr>
        <w:t>(i</w:t>
      </w:r>
      <w:r w:rsidR="0038296D" w:rsidRPr="00F0543F">
        <w:rPr>
          <w:sz w:val="22"/>
          <w:szCs w:val="22"/>
        </w:rPr>
        <w:t>v</w:t>
      </w:r>
      <w:r w:rsidRPr="00F0543F">
        <w:rPr>
          <w:sz w:val="22"/>
          <w:szCs w:val="22"/>
        </w:rPr>
        <w:t xml:space="preserve">) Statement of </w:t>
      </w:r>
      <w:r w:rsidR="00C76A19" w:rsidRPr="00F0543F">
        <w:rPr>
          <w:sz w:val="22"/>
          <w:szCs w:val="22"/>
        </w:rPr>
        <w:t xml:space="preserve">Cash </w:t>
      </w:r>
      <w:r w:rsidRPr="00F0543F">
        <w:rPr>
          <w:sz w:val="22"/>
          <w:szCs w:val="22"/>
        </w:rPr>
        <w:t xml:space="preserve">payments made using </w:t>
      </w:r>
      <w:r w:rsidR="00BE6688" w:rsidRPr="00F0543F">
        <w:rPr>
          <w:sz w:val="22"/>
          <w:szCs w:val="22"/>
        </w:rPr>
        <w:t>Statements of Expenditures (</w:t>
      </w:r>
      <w:r w:rsidRPr="00F0543F">
        <w:rPr>
          <w:sz w:val="22"/>
          <w:szCs w:val="22"/>
        </w:rPr>
        <w:t>SOE</w:t>
      </w:r>
      <w:r w:rsidR="00BE6688" w:rsidRPr="00F0543F">
        <w:rPr>
          <w:sz w:val="22"/>
          <w:szCs w:val="22"/>
        </w:rPr>
        <w:t>)</w:t>
      </w:r>
      <w:r w:rsidRPr="00F0543F">
        <w:rPr>
          <w:sz w:val="22"/>
          <w:szCs w:val="22"/>
        </w:rPr>
        <w:t xml:space="preserve"> basis as defined in the </w:t>
      </w:r>
      <w:r w:rsidR="00187B73" w:rsidRPr="00F0543F">
        <w:rPr>
          <w:sz w:val="22"/>
          <w:szCs w:val="22"/>
        </w:rPr>
        <w:t>L</w:t>
      </w:r>
      <w:r w:rsidRPr="00F0543F">
        <w:rPr>
          <w:sz w:val="22"/>
          <w:szCs w:val="22"/>
        </w:rPr>
        <w:t>oan</w:t>
      </w:r>
      <w:r w:rsidR="00187B73" w:rsidRPr="00F0543F">
        <w:rPr>
          <w:sz w:val="22"/>
          <w:szCs w:val="22"/>
        </w:rPr>
        <w:t>/G</w:t>
      </w:r>
      <w:r w:rsidR="005C5CE0" w:rsidRPr="00F0543F">
        <w:rPr>
          <w:sz w:val="22"/>
          <w:szCs w:val="22"/>
        </w:rPr>
        <w:t>rant</w:t>
      </w:r>
      <w:r w:rsidRPr="00F0543F">
        <w:rPr>
          <w:sz w:val="22"/>
          <w:szCs w:val="22"/>
        </w:rPr>
        <w:t xml:space="preserve"> agreement</w:t>
      </w:r>
      <w:r w:rsidR="00C76A19" w:rsidRPr="00F0543F">
        <w:rPr>
          <w:sz w:val="22"/>
          <w:szCs w:val="22"/>
        </w:rPr>
        <w:t>s</w:t>
      </w:r>
      <w:r w:rsidRPr="00F0543F">
        <w:rPr>
          <w:sz w:val="22"/>
          <w:szCs w:val="22"/>
        </w:rPr>
        <w:t xml:space="preserve"> </w:t>
      </w:r>
      <w:r w:rsidR="005C5CE0" w:rsidRPr="00F0543F">
        <w:rPr>
          <w:sz w:val="22"/>
          <w:szCs w:val="22"/>
        </w:rPr>
        <w:t>(</w:t>
      </w:r>
      <w:r w:rsidR="00BF5656" w:rsidRPr="00F0543F">
        <w:rPr>
          <w:sz w:val="22"/>
          <w:szCs w:val="22"/>
        </w:rPr>
        <w:t>v)</w:t>
      </w:r>
      <w:r w:rsidR="00017002" w:rsidRPr="00F0543F">
        <w:rPr>
          <w:sz w:val="22"/>
          <w:szCs w:val="22"/>
        </w:rPr>
        <w:t xml:space="preserve"> </w:t>
      </w:r>
      <w:r w:rsidR="00BF5656" w:rsidRPr="00F0543F">
        <w:rPr>
          <w:sz w:val="22"/>
          <w:szCs w:val="22"/>
        </w:rPr>
        <w:t>Contract listing of all contracts showing amounts comm</w:t>
      </w:r>
      <w:r w:rsidR="001E64AF" w:rsidRPr="00F0543F">
        <w:rPr>
          <w:sz w:val="22"/>
          <w:szCs w:val="22"/>
        </w:rPr>
        <w:t>itted</w:t>
      </w:r>
      <w:r w:rsidR="004766FA" w:rsidRPr="00F0543F">
        <w:rPr>
          <w:sz w:val="22"/>
          <w:szCs w:val="22"/>
        </w:rPr>
        <w:t xml:space="preserve">, </w:t>
      </w:r>
      <w:r w:rsidR="001E64AF" w:rsidRPr="00F0543F">
        <w:rPr>
          <w:sz w:val="22"/>
          <w:szCs w:val="22"/>
        </w:rPr>
        <w:t xml:space="preserve"> </w:t>
      </w:r>
      <w:r w:rsidR="004766FA" w:rsidRPr="00F0543F">
        <w:rPr>
          <w:sz w:val="22"/>
          <w:szCs w:val="22"/>
        </w:rPr>
        <w:t>paid, and unpaid</w:t>
      </w:r>
      <w:r w:rsidR="001E64AF" w:rsidRPr="00F0543F">
        <w:rPr>
          <w:sz w:val="22"/>
          <w:szCs w:val="22"/>
        </w:rPr>
        <w:t xml:space="preserve"> under each and (vi) accounting policies and explanatory notes</w:t>
      </w:r>
      <w:r w:rsidR="00E87047" w:rsidRPr="00F0543F">
        <w:rPr>
          <w:sz w:val="22"/>
          <w:szCs w:val="22"/>
        </w:rPr>
        <w:t>.</w:t>
      </w:r>
    </w:p>
    <w:p w14:paraId="56071933" w14:textId="77777777" w:rsidR="00B81B21" w:rsidRPr="00F0543F" w:rsidRDefault="00A54EFB" w:rsidP="0030059F">
      <w:pPr>
        <w:pStyle w:val="Heading5"/>
        <w:numPr>
          <w:ilvl w:val="0"/>
          <w:numId w:val="17"/>
        </w:numPr>
        <w:tabs>
          <w:tab w:val="left" w:pos="0"/>
        </w:tabs>
        <w:jc w:val="both"/>
        <w:rPr>
          <w:sz w:val="22"/>
          <w:szCs w:val="22"/>
        </w:rPr>
      </w:pPr>
      <w:r w:rsidRPr="00F0543F">
        <w:rPr>
          <w:sz w:val="22"/>
          <w:szCs w:val="22"/>
        </w:rPr>
        <w:t>The</w:t>
      </w:r>
      <w:r w:rsidR="00B81B21" w:rsidRPr="00F0543F">
        <w:rPr>
          <w:sz w:val="22"/>
          <w:szCs w:val="22"/>
        </w:rPr>
        <w:t xml:space="preserve"> </w:t>
      </w:r>
      <w:r w:rsidR="00C00BED" w:rsidRPr="00F0543F">
        <w:rPr>
          <w:sz w:val="22"/>
          <w:szCs w:val="22"/>
        </w:rPr>
        <w:t xml:space="preserve">Loan/ </w:t>
      </w:r>
      <w:r w:rsidR="00187B73" w:rsidRPr="00F0543F">
        <w:rPr>
          <w:sz w:val="22"/>
          <w:szCs w:val="22"/>
        </w:rPr>
        <w:t>Grant</w:t>
      </w:r>
      <w:r w:rsidR="00B81B21" w:rsidRPr="00F0543F">
        <w:rPr>
          <w:sz w:val="22"/>
          <w:szCs w:val="22"/>
        </w:rPr>
        <w:t xml:space="preserve"> Agreement</w:t>
      </w:r>
      <w:r w:rsidR="00D56111" w:rsidRPr="00F0543F">
        <w:rPr>
          <w:sz w:val="22"/>
          <w:szCs w:val="22"/>
        </w:rPr>
        <w:t>s</w:t>
      </w:r>
      <w:r w:rsidR="00B81B21" w:rsidRPr="00F0543F">
        <w:rPr>
          <w:sz w:val="22"/>
          <w:szCs w:val="22"/>
        </w:rPr>
        <w:t xml:space="preserve"> require that the records, accounts and </w:t>
      </w:r>
      <w:r w:rsidR="003D5590" w:rsidRPr="00F0543F">
        <w:rPr>
          <w:sz w:val="22"/>
          <w:szCs w:val="22"/>
        </w:rPr>
        <w:t xml:space="preserve">project </w:t>
      </w:r>
      <w:r w:rsidR="00B81B21" w:rsidRPr="00F0543F">
        <w:rPr>
          <w:sz w:val="22"/>
          <w:szCs w:val="22"/>
        </w:rPr>
        <w:t>financial statements mentioned above and the records and accounts for the Special</w:t>
      </w:r>
      <w:r w:rsidR="00BC50AB" w:rsidRPr="00F0543F">
        <w:rPr>
          <w:sz w:val="22"/>
          <w:szCs w:val="22"/>
        </w:rPr>
        <w:t>/Designated</w:t>
      </w:r>
      <w:r w:rsidR="00B81B21" w:rsidRPr="00F0543F">
        <w:rPr>
          <w:sz w:val="22"/>
          <w:szCs w:val="22"/>
        </w:rPr>
        <w:t xml:space="preserve"> Account for each fiscal year to be audited, in accordance with auditing standards acceptable to the Bank, consistently applied, by independent </w:t>
      </w:r>
      <w:r w:rsidR="004766FA" w:rsidRPr="00F0543F">
        <w:rPr>
          <w:sz w:val="22"/>
          <w:szCs w:val="22"/>
        </w:rPr>
        <w:t>Auditor</w:t>
      </w:r>
      <w:r w:rsidR="00B81B21" w:rsidRPr="00F0543F">
        <w:rPr>
          <w:sz w:val="22"/>
          <w:szCs w:val="22"/>
        </w:rPr>
        <w:t xml:space="preserve">s acceptable to the Bank.  Audited PFS should be submitted to the World Bank as soon they become available but not later than six months after the end of the fiscal year.  In fulfillment of this statutory requirement, the </w:t>
      </w:r>
      <w:r w:rsidR="004D58FD" w:rsidRPr="00F0543F">
        <w:rPr>
          <w:sz w:val="22"/>
          <w:szCs w:val="22"/>
        </w:rPr>
        <w:t>Governing Body</w:t>
      </w:r>
      <w:r w:rsidR="00B81B21" w:rsidRPr="00F0543F">
        <w:rPr>
          <w:sz w:val="22"/>
          <w:szCs w:val="22"/>
        </w:rPr>
        <w:t xml:space="preserve"> should engage a qualified independent audit firm according to terms of reference and scope of work acceptable to the World Bank, as summarized below. </w:t>
      </w:r>
    </w:p>
    <w:p w14:paraId="695E8FFE" w14:textId="42B706F3" w:rsidR="00755B73" w:rsidRDefault="00755B73" w:rsidP="00B81B21">
      <w:pPr>
        <w:suppressLineNumbers/>
        <w:spacing w:after="120" w:line="40" w:lineRule="atLeast"/>
        <w:jc w:val="both"/>
        <w:rPr>
          <w:sz w:val="22"/>
          <w:szCs w:val="22"/>
        </w:rPr>
      </w:pPr>
    </w:p>
    <w:p w14:paraId="029269CE" w14:textId="2317C1EB" w:rsidR="00995A25" w:rsidRDefault="00995A25" w:rsidP="00B81B21">
      <w:pPr>
        <w:suppressLineNumbers/>
        <w:spacing w:after="120" w:line="40" w:lineRule="atLeast"/>
        <w:jc w:val="both"/>
        <w:rPr>
          <w:sz w:val="22"/>
          <w:szCs w:val="22"/>
        </w:rPr>
      </w:pPr>
    </w:p>
    <w:p w14:paraId="6177151C" w14:textId="53619120" w:rsidR="00995A25" w:rsidRDefault="00995A25" w:rsidP="00B81B21">
      <w:pPr>
        <w:suppressLineNumbers/>
        <w:spacing w:after="120" w:line="40" w:lineRule="atLeast"/>
        <w:jc w:val="both"/>
        <w:rPr>
          <w:sz w:val="22"/>
          <w:szCs w:val="22"/>
        </w:rPr>
      </w:pPr>
    </w:p>
    <w:p w14:paraId="610964E5" w14:textId="77777777" w:rsidR="00995A25" w:rsidRPr="00F0543F" w:rsidRDefault="00995A25" w:rsidP="00B81B21">
      <w:pPr>
        <w:suppressLineNumbers/>
        <w:spacing w:after="120" w:line="40" w:lineRule="atLeast"/>
        <w:jc w:val="both"/>
        <w:rPr>
          <w:sz w:val="22"/>
          <w:szCs w:val="22"/>
        </w:rPr>
      </w:pPr>
    </w:p>
    <w:p w14:paraId="6BC6F4A3" w14:textId="77777777" w:rsidR="00B81B21" w:rsidRPr="00F0543F" w:rsidRDefault="00B81B21" w:rsidP="00B81B21">
      <w:pPr>
        <w:suppressLineNumbers/>
        <w:spacing w:after="120" w:line="40" w:lineRule="atLeast"/>
        <w:jc w:val="both"/>
        <w:rPr>
          <w:b/>
          <w:sz w:val="22"/>
          <w:szCs w:val="22"/>
        </w:rPr>
      </w:pPr>
      <w:r w:rsidRPr="00F0543F">
        <w:rPr>
          <w:b/>
          <w:sz w:val="22"/>
          <w:szCs w:val="22"/>
        </w:rPr>
        <w:t xml:space="preserve">Objective </w:t>
      </w:r>
    </w:p>
    <w:p w14:paraId="4AA40A99" w14:textId="77777777" w:rsidR="00755B73" w:rsidRPr="00F0543F" w:rsidRDefault="00755B73" w:rsidP="00B81B21">
      <w:pPr>
        <w:suppressLineNumbers/>
        <w:spacing w:after="120" w:line="40" w:lineRule="atLeast"/>
        <w:jc w:val="both"/>
        <w:rPr>
          <w:b/>
          <w:sz w:val="22"/>
          <w:szCs w:val="22"/>
        </w:rPr>
      </w:pPr>
    </w:p>
    <w:p w14:paraId="12377351" w14:textId="77777777" w:rsidR="00BF0D23" w:rsidRPr="00F0543F" w:rsidRDefault="00B81B21" w:rsidP="0030059F">
      <w:pPr>
        <w:pStyle w:val="Heading5"/>
        <w:numPr>
          <w:ilvl w:val="0"/>
          <w:numId w:val="17"/>
        </w:numPr>
        <w:tabs>
          <w:tab w:val="left" w:pos="0"/>
        </w:tabs>
        <w:jc w:val="both"/>
        <w:rPr>
          <w:sz w:val="22"/>
          <w:szCs w:val="22"/>
        </w:rPr>
      </w:pPr>
      <w:r w:rsidRPr="00F0543F">
        <w:rPr>
          <w:sz w:val="22"/>
          <w:szCs w:val="22"/>
        </w:rPr>
        <w:lastRenderedPageBreak/>
        <w:t xml:space="preserve">The primary objective of the audit engagement is to enable the </w:t>
      </w:r>
      <w:r w:rsidR="004766FA" w:rsidRPr="00F0543F">
        <w:rPr>
          <w:sz w:val="22"/>
          <w:szCs w:val="22"/>
        </w:rPr>
        <w:t>Auditor</w:t>
      </w:r>
      <w:r w:rsidRPr="00F0543F">
        <w:rPr>
          <w:sz w:val="22"/>
          <w:szCs w:val="22"/>
        </w:rPr>
        <w:t xml:space="preserve"> to express a professional opinion as </w:t>
      </w:r>
      <w:r w:rsidR="00D17E02" w:rsidRPr="00F0543F">
        <w:rPr>
          <w:sz w:val="22"/>
          <w:szCs w:val="22"/>
        </w:rPr>
        <w:t>to whether</w:t>
      </w:r>
      <w:r w:rsidRPr="00F0543F">
        <w:rPr>
          <w:sz w:val="22"/>
          <w:szCs w:val="22"/>
        </w:rPr>
        <w:t xml:space="preserve"> </w:t>
      </w:r>
      <w:r w:rsidR="007D5C45" w:rsidRPr="00F0543F">
        <w:rPr>
          <w:sz w:val="22"/>
          <w:szCs w:val="22"/>
        </w:rPr>
        <w:t>(a)</w:t>
      </w:r>
      <w:r w:rsidR="0021571F" w:rsidRPr="00F0543F">
        <w:rPr>
          <w:sz w:val="22"/>
          <w:szCs w:val="22"/>
        </w:rPr>
        <w:t xml:space="preserve"> </w:t>
      </w:r>
      <w:r w:rsidR="00862659" w:rsidRPr="00F0543F">
        <w:rPr>
          <w:sz w:val="22"/>
          <w:szCs w:val="22"/>
        </w:rPr>
        <w:t>the project financial statements give a true and fair view of the state of the Project's affairs in accordance with International Public Sector Accounting Standards, under the cash basis of accounting</w:t>
      </w:r>
      <w:r w:rsidR="0021571F" w:rsidRPr="00F0543F">
        <w:rPr>
          <w:sz w:val="22"/>
          <w:szCs w:val="22"/>
        </w:rPr>
        <w:t xml:space="preserve"> </w:t>
      </w:r>
      <w:r w:rsidR="00862659" w:rsidRPr="00F0543F">
        <w:rPr>
          <w:sz w:val="22"/>
          <w:szCs w:val="22"/>
        </w:rPr>
        <w:t>(</w:t>
      </w:r>
      <w:r w:rsidR="00950AE0" w:rsidRPr="00F0543F">
        <w:rPr>
          <w:sz w:val="22"/>
          <w:szCs w:val="22"/>
        </w:rPr>
        <w:t>b</w:t>
      </w:r>
      <w:r w:rsidR="00862659" w:rsidRPr="00F0543F">
        <w:rPr>
          <w:sz w:val="22"/>
          <w:szCs w:val="22"/>
        </w:rPr>
        <w:t>) </w:t>
      </w:r>
      <w:r w:rsidR="00970EE4" w:rsidRPr="00F0543F">
        <w:rPr>
          <w:sz w:val="22"/>
          <w:szCs w:val="22"/>
        </w:rPr>
        <w:t xml:space="preserve">all funds provided to the Project including replenishments, direct payments, payments through </w:t>
      </w:r>
      <w:r w:rsidR="00172398" w:rsidRPr="00F0543F">
        <w:rPr>
          <w:sz w:val="22"/>
          <w:szCs w:val="22"/>
        </w:rPr>
        <w:t>special</w:t>
      </w:r>
      <w:r w:rsidR="00950AE0" w:rsidRPr="00F0543F">
        <w:rPr>
          <w:sz w:val="22"/>
          <w:szCs w:val="22"/>
        </w:rPr>
        <w:t xml:space="preserve"> commitments,</w:t>
      </w:r>
      <w:r w:rsidR="00DA3106" w:rsidRPr="00F0543F">
        <w:rPr>
          <w:sz w:val="22"/>
          <w:szCs w:val="22"/>
        </w:rPr>
        <w:t xml:space="preserve"> and reimbursements i.e. expenditures reimbursed on the basis of Statements of Expenditures,</w:t>
      </w:r>
      <w:r w:rsidR="00970EE4" w:rsidRPr="00F0543F">
        <w:rPr>
          <w:sz w:val="22"/>
          <w:szCs w:val="22"/>
        </w:rPr>
        <w:t xml:space="preserve"> are eligible , have been used, accounted for, and classified in accordance with the relevant </w:t>
      </w:r>
      <w:r w:rsidR="00C00BED" w:rsidRPr="00F0543F">
        <w:rPr>
          <w:sz w:val="22"/>
          <w:szCs w:val="22"/>
        </w:rPr>
        <w:t xml:space="preserve">Loan/ </w:t>
      </w:r>
      <w:r w:rsidR="00970EE4" w:rsidRPr="00F0543F">
        <w:rPr>
          <w:sz w:val="22"/>
          <w:szCs w:val="22"/>
        </w:rPr>
        <w:t>Grant Agreement</w:t>
      </w:r>
      <w:r w:rsidR="008D4749" w:rsidRPr="00F0543F">
        <w:rPr>
          <w:sz w:val="22"/>
          <w:szCs w:val="22"/>
        </w:rPr>
        <w:t>s</w:t>
      </w:r>
      <w:r w:rsidR="00387554" w:rsidRPr="00F0543F">
        <w:rPr>
          <w:sz w:val="22"/>
          <w:szCs w:val="22"/>
        </w:rPr>
        <w:t xml:space="preserve"> (c) internal control over financial reporting involved in the preparation of replenishments, direct payments, payments through special commitments, and reimbursements i.e. expenditures reimbursed on the basis of Statements of Expenditures</w:t>
      </w:r>
      <w:r w:rsidR="00970EE4" w:rsidRPr="00F0543F">
        <w:rPr>
          <w:sz w:val="22"/>
          <w:szCs w:val="22"/>
        </w:rPr>
        <w:t xml:space="preserve"> </w:t>
      </w:r>
      <w:r w:rsidR="00950AE0" w:rsidRPr="00F0543F">
        <w:rPr>
          <w:sz w:val="22"/>
          <w:szCs w:val="22"/>
        </w:rPr>
        <w:t xml:space="preserve">can be relied upon to support the related withdrawals </w:t>
      </w:r>
      <w:r w:rsidR="009219D6" w:rsidRPr="00F0543F">
        <w:rPr>
          <w:sz w:val="22"/>
          <w:szCs w:val="22"/>
        </w:rPr>
        <w:t>(d</w:t>
      </w:r>
      <w:r w:rsidR="00970EE4" w:rsidRPr="00F0543F">
        <w:rPr>
          <w:sz w:val="22"/>
          <w:szCs w:val="22"/>
        </w:rPr>
        <w:t xml:space="preserve">) </w:t>
      </w:r>
      <w:r w:rsidR="003E6EDD" w:rsidRPr="00F0543F">
        <w:rPr>
          <w:sz w:val="22"/>
          <w:szCs w:val="22"/>
        </w:rPr>
        <w:t xml:space="preserve">Replenishments and disbursements  made under the </w:t>
      </w:r>
      <w:r w:rsidR="00BC50AB" w:rsidRPr="00F0543F">
        <w:rPr>
          <w:sz w:val="22"/>
          <w:szCs w:val="22"/>
        </w:rPr>
        <w:t>S</w:t>
      </w:r>
      <w:r w:rsidR="003E6EDD" w:rsidRPr="00F0543F">
        <w:rPr>
          <w:sz w:val="22"/>
          <w:szCs w:val="22"/>
        </w:rPr>
        <w:t>pecial</w:t>
      </w:r>
      <w:r w:rsidR="00BC50AB" w:rsidRPr="00F0543F">
        <w:rPr>
          <w:sz w:val="22"/>
          <w:szCs w:val="22"/>
        </w:rPr>
        <w:t>/Designated</w:t>
      </w:r>
      <w:r w:rsidR="003E6EDD" w:rsidRPr="00F0543F">
        <w:rPr>
          <w:sz w:val="22"/>
          <w:szCs w:val="22"/>
        </w:rPr>
        <w:t xml:space="preserve"> account has been used exclusively for payment of eligible expenditures and have been accounted for, and classified in accordance with the relevant </w:t>
      </w:r>
      <w:r w:rsidR="00C00BED" w:rsidRPr="00F0543F">
        <w:rPr>
          <w:sz w:val="22"/>
          <w:szCs w:val="22"/>
        </w:rPr>
        <w:t>Loan/ Grant</w:t>
      </w:r>
      <w:r w:rsidR="003E6EDD" w:rsidRPr="00F0543F">
        <w:rPr>
          <w:sz w:val="22"/>
          <w:szCs w:val="22"/>
        </w:rPr>
        <w:t xml:space="preserve"> </w:t>
      </w:r>
      <w:r w:rsidR="003C0854" w:rsidRPr="00F0543F">
        <w:rPr>
          <w:sz w:val="22"/>
          <w:szCs w:val="22"/>
        </w:rPr>
        <w:t>Agreement</w:t>
      </w:r>
      <w:r w:rsidR="008D4749" w:rsidRPr="00F0543F">
        <w:rPr>
          <w:sz w:val="22"/>
          <w:szCs w:val="22"/>
        </w:rPr>
        <w:t>s</w:t>
      </w:r>
      <w:r w:rsidR="003E6EDD" w:rsidRPr="00F0543F">
        <w:rPr>
          <w:sz w:val="22"/>
          <w:szCs w:val="22"/>
        </w:rPr>
        <w:t xml:space="preserve"> </w:t>
      </w:r>
      <w:r w:rsidR="00757745" w:rsidRPr="00F0543F">
        <w:rPr>
          <w:sz w:val="22"/>
          <w:szCs w:val="22"/>
        </w:rPr>
        <w:t xml:space="preserve"> </w:t>
      </w:r>
      <w:r w:rsidR="009219D6" w:rsidRPr="00F0543F">
        <w:rPr>
          <w:sz w:val="22"/>
          <w:szCs w:val="22"/>
        </w:rPr>
        <w:t>(e</w:t>
      </w:r>
      <w:r w:rsidR="00E40D79" w:rsidRPr="00F0543F">
        <w:rPr>
          <w:sz w:val="22"/>
          <w:szCs w:val="22"/>
        </w:rPr>
        <w:t xml:space="preserve">) </w:t>
      </w:r>
      <w:r w:rsidR="002E1BB2" w:rsidRPr="00F0543F">
        <w:rPr>
          <w:sz w:val="22"/>
          <w:szCs w:val="22"/>
        </w:rPr>
        <w:t xml:space="preserve">The </w:t>
      </w:r>
      <w:r w:rsidR="003E6EDD" w:rsidRPr="00F0543F">
        <w:rPr>
          <w:sz w:val="22"/>
          <w:szCs w:val="22"/>
        </w:rPr>
        <w:t>Project</w:t>
      </w:r>
      <w:r w:rsidR="008D4749" w:rsidRPr="00F0543F">
        <w:rPr>
          <w:sz w:val="22"/>
          <w:szCs w:val="22"/>
        </w:rPr>
        <w:t>s were</w:t>
      </w:r>
      <w:r w:rsidR="002E1BB2" w:rsidRPr="00F0543F">
        <w:rPr>
          <w:sz w:val="22"/>
          <w:szCs w:val="22"/>
        </w:rPr>
        <w:t xml:space="preserve"> in all material respects in compliance with the financial covenants of </w:t>
      </w:r>
      <w:r w:rsidR="007E6881" w:rsidRPr="00F0543F">
        <w:rPr>
          <w:sz w:val="22"/>
          <w:szCs w:val="22"/>
        </w:rPr>
        <w:t xml:space="preserve">Loan/ </w:t>
      </w:r>
      <w:r w:rsidR="002E1BB2" w:rsidRPr="00F0543F">
        <w:rPr>
          <w:sz w:val="22"/>
          <w:szCs w:val="22"/>
        </w:rPr>
        <w:t>Grant agreement</w:t>
      </w:r>
      <w:r w:rsidR="008D4749" w:rsidRPr="00F0543F">
        <w:rPr>
          <w:sz w:val="22"/>
          <w:szCs w:val="22"/>
        </w:rPr>
        <w:t>s</w:t>
      </w:r>
      <w:r w:rsidR="004F068C" w:rsidRPr="00F0543F">
        <w:rPr>
          <w:sz w:val="22"/>
          <w:szCs w:val="22"/>
        </w:rPr>
        <w:t xml:space="preserve"> </w:t>
      </w:r>
      <w:r w:rsidR="00AE169E" w:rsidRPr="00F0543F">
        <w:rPr>
          <w:sz w:val="22"/>
          <w:szCs w:val="22"/>
        </w:rPr>
        <w:t xml:space="preserve">, World Bank disbursement guidelines </w:t>
      </w:r>
      <w:r w:rsidR="004F068C" w:rsidRPr="00F0543F">
        <w:rPr>
          <w:sz w:val="22"/>
          <w:szCs w:val="22"/>
        </w:rPr>
        <w:t>and</w:t>
      </w:r>
      <w:r w:rsidR="00BF0D23" w:rsidRPr="00F0543F">
        <w:rPr>
          <w:sz w:val="22"/>
          <w:szCs w:val="22"/>
        </w:rPr>
        <w:t xml:space="preserve"> </w:t>
      </w:r>
      <w:r w:rsidR="004F068C" w:rsidRPr="00F0543F">
        <w:rPr>
          <w:sz w:val="22"/>
          <w:szCs w:val="22"/>
        </w:rPr>
        <w:t xml:space="preserve">the </w:t>
      </w:r>
      <w:r w:rsidR="00BF0D23" w:rsidRPr="00F0543F">
        <w:rPr>
          <w:sz w:val="22"/>
          <w:szCs w:val="22"/>
        </w:rPr>
        <w:t>Wo</w:t>
      </w:r>
      <w:r w:rsidR="007E6881" w:rsidRPr="00F0543F">
        <w:rPr>
          <w:sz w:val="22"/>
          <w:szCs w:val="22"/>
        </w:rPr>
        <w:t>rld Bank Procurement Guidelines.</w:t>
      </w:r>
    </w:p>
    <w:p w14:paraId="744F94D5" w14:textId="77777777" w:rsidR="006A3110" w:rsidRPr="00F0543F" w:rsidRDefault="00B81B21" w:rsidP="0030059F">
      <w:pPr>
        <w:pStyle w:val="Heading5"/>
        <w:numPr>
          <w:ilvl w:val="0"/>
          <w:numId w:val="17"/>
        </w:numPr>
        <w:tabs>
          <w:tab w:val="left" w:pos="0"/>
        </w:tabs>
        <w:jc w:val="both"/>
        <w:rPr>
          <w:sz w:val="22"/>
          <w:szCs w:val="22"/>
        </w:rPr>
      </w:pPr>
      <w:r w:rsidRPr="00F0543F">
        <w:rPr>
          <w:sz w:val="22"/>
          <w:szCs w:val="22"/>
        </w:rPr>
        <w:t xml:space="preserve">For this purpose, the </w:t>
      </w:r>
      <w:r w:rsidR="004766FA" w:rsidRPr="00F0543F">
        <w:rPr>
          <w:sz w:val="22"/>
          <w:szCs w:val="22"/>
        </w:rPr>
        <w:t>Auditor</w:t>
      </w:r>
      <w:r w:rsidRPr="00F0543F">
        <w:rPr>
          <w:sz w:val="22"/>
          <w:szCs w:val="22"/>
        </w:rPr>
        <w:t xml:space="preserve"> shall carry out whatever necessary examinations of the statements and underlying records and </w:t>
      </w:r>
      <w:r w:rsidR="0017731C" w:rsidRPr="00F0543F">
        <w:rPr>
          <w:sz w:val="22"/>
          <w:szCs w:val="22"/>
        </w:rPr>
        <w:t xml:space="preserve">internal </w:t>
      </w:r>
      <w:r w:rsidRPr="00F0543F">
        <w:rPr>
          <w:sz w:val="22"/>
          <w:szCs w:val="22"/>
        </w:rPr>
        <w:t xml:space="preserve">control systems. </w:t>
      </w:r>
    </w:p>
    <w:p w14:paraId="2C0DA83D" w14:textId="77777777" w:rsidR="00B81B21" w:rsidRPr="00F0543F" w:rsidRDefault="00B81B21" w:rsidP="00B81B21">
      <w:pPr>
        <w:pStyle w:val="Heading5"/>
        <w:tabs>
          <w:tab w:val="left" w:pos="0"/>
          <w:tab w:val="num" w:pos="720"/>
        </w:tabs>
        <w:jc w:val="both"/>
        <w:rPr>
          <w:b/>
          <w:sz w:val="22"/>
          <w:szCs w:val="22"/>
        </w:rPr>
      </w:pPr>
      <w:r w:rsidRPr="00F0543F">
        <w:rPr>
          <w:b/>
          <w:sz w:val="22"/>
          <w:szCs w:val="22"/>
        </w:rPr>
        <w:t>Scope</w:t>
      </w:r>
    </w:p>
    <w:p w14:paraId="22FC058D" w14:textId="77777777" w:rsidR="00B81B21" w:rsidRPr="00F0543F" w:rsidRDefault="00B81B21" w:rsidP="0030059F">
      <w:pPr>
        <w:pStyle w:val="Heading5"/>
        <w:numPr>
          <w:ilvl w:val="0"/>
          <w:numId w:val="17"/>
        </w:numPr>
        <w:tabs>
          <w:tab w:val="left" w:pos="0"/>
        </w:tabs>
        <w:jc w:val="both"/>
        <w:rPr>
          <w:sz w:val="22"/>
          <w:szCs w:val="22"/>
        </w:rPr>
      </w:pPr>
      <w:r w:rsidRPr="00F0543F">
        <w:rPr>
          <w:sz w:val="22"/>
          <w:szCs w:val="22"/>
        </w:rPr>
        <w:t xml:space="preserve">The audit subject </w:t>
      </w:r>
      <w:r w:rsidR="00335468" w:rsidRPr="00F0543F">
        <w:rPr>
          <w:sz w:val="22"/>
          <w:szCs w:val="22"/>
        </w:rPr>
        <w:t>to</w:t>
      </w:r>
      <w:r w:rsidRPr="00F0543F">
        <w:rPr>
          <w:sz w:val="22"/>
          <w:szCs w:val="22"/>
        </w:rPr>
        <w:t xml:space="preserve"> this Terms of Reference is considered as a special purpose </w:t>
      </w:r>
      <w:r w:rsidR="000F07C3" w:rsidRPr="00F0543F">
        <w:rPr>
          <w:sz w:val="22"/>
          <w:szCs w:val="22"/>
        </w:rPr>
        <w:t>audit</w:t>
      </w:r>
      <w:r w:rsidRPr="00F0543F">
        <w:rPr>
          <w:sz w:val="22"/>
          <w:szCs w:val="22"/>
        </w:rPr>
        <w:t xml:space="preserve"> </w:t>
      </w:r>
      <w:r w:rsidR="000F07C3" w:rsidRPr="00F0543F">
        <w:rPr>
          <w:sz w:val="22"/>
          <w:szCs w:val="22"/>
        </w:rPr>
        <w:t xml:space="preserve">engagement </w:t>
      </w:r>
      <w:r w:rsidRPr="00F0543F">
        <w:rPr>
          <w:sz w:val="22"/>
          <w:szCs w:val="22"/>
        </w:rPr>
        <w:t xml:space="preserve">for which, in addition to compliance with international </w:t>
      </w:r>
      <w:r w:rsidR="00BB351C" w:rsidRPr="00F0543F">
        <w:rPr>
          <w:sz w:val="22"/>
          <w:szCs w:val="22"/>
        </w:rPr>
        <w:t>standards as</w:t>
      </w:r>
      <w:r w:rsidRPr="00F0543F">
        <w:rPr>
          <w:sz w:val="22"/>
          <w:szCs w:val="22"/>
        </w:rPr>
        <w:t xml:space="preserve"> explained below, the </w:t>
      </w:r>
      <w:r w:rsidR="004766FA" w:rsidRPr="00F0543F">
        <w:rPr>
          <w:sz w:val="22"/>
          <w:szCs w:val="22"/>
        </w:rPr>
        <w:t>Auditor</w:t>
      </w:r>
      <w:r w:rsidRPr="00F0543F">
        <w:rPr>
          <w:sz w:val="22"/>
          <w:szCs w:val="22"/>
        </w:rPr>
        <w:t xml:space="preserve"> needs to take into consideration </w:t>
      </w:r>
      <w:r w:rsidR="00377955" w:rsidRPr="00F0543F">
        <w:rPr>
          <w:sz w:val="22"/>
          <w:szCs w:val="22"/>
        </w:rPr>
        <w:t xml:space="preserve">the </w:t>
      </w:r>
      <w:r w:rsidR="00B410D6" w:rsidRPr="00F0543F">
        <w:rPr>
          <w:sz w:val="22"/>
          <w:szCs w:val="22"/>
        </w:rPr>
        <w:t>effectiveness of internal controls</w:t>
      </w:r>
      <w:r w:rsidR="000F07C3" w:rsidRPr="00F0543F">
        <w:rPr>
          <w:sz w:val="22"/>
          <w:szCs w:val="22"/>
        </w:rPr>
        <w:t xml:space="preserve"> over financial reporting</w:t>
      </w:r>
      <w:r w:rsidR="00B410D6" w:rsidRPr="00F0543F">
        <w:rPr>
          <w:sz w:val="22"/>
          <w:szCs w:val="22"/>
        </w:rPr>
        <w:t xml:space="preserve">, and </w:t>
      </w:r>
      <w:r w:rsidR="00684399" w:rsidRPr="00F0543F">
        <w:rPr>
          <w:sz w:val="22"/>
          <w:szCs w:val="22"/>
        </w:rPr>
        <w:t xml:space="preserve">compliance with </w:t>
      </w:r>
      <w:r w:rsidRPr="00F0543F">
        <w:rPr>
          <w:sz w:val="22"/>
          <w:szCs w:val="22"/>
        </w:rPr>
        <w:t xml:space="preserve">World Bank </w:t>
      </w:r>
      <w:r w:rsidR="00684399" w:rsidRPr="00F0543F">
        <w:rPr>
          <w:sz w:val="22"/>
          <w:szCs w:val="22"/>
        </w:rPr>
        <w:t>R</w:t>
      </w:r>
      <w:r w:rsidRPr="00F0543F">
        <w:rPr>
          <w:sz w:val="22"/>
          <w:szCs w:val="22"/>
        </w:rPr>
        <w:t>eporting requirements</w:t>
      </w:r>
      <w:r w:rsidR="0087208F" w:rsidRPr="00F0543F">
        <w:rPr>
          <w:sz w:val="22"/>
          <w:szCs w:val="22"/>
        </w:rPr>
        <w:t xml:space="preserve">, </w:t>
      </w:r>
      <w:r w:rsidR="00684399" w:rsidRPr="00F0543F">
        <w:rPr>
          <w:sz w:val="22"/>
          <w:szCs w:val="22"/>
        </w:rPr>
        <w:t>D</w:t>
      </w:r>
      <w:r w:rsidR="0087208F" w:rsidRPr="00F0543F">
        <w:rPr>
          <w:sz w:val="22"/>
          <w:szCs w:val="22"/>
        </w:rPr>
        <w:t>isbursement guidelines</w:t>
      </w:r>
      <w:r w:rsidR="00435E8D" w:rsidRPr="00F0543F">
        <w:rPr>
          <w:sz w:val="22"/>
          <w:szCs w:val="22"/>
        </w:rPr>
        <w:t>, and</w:t>
      </w:r>
      <w:r w:rsidRPr="00F0543F">
        <w:rPr>
          <w:sz w:val="22"/>
          <w:szCs w:val="22"/>
        </w:rPr>
        <w:t xml:space="preserve"> Procurement Guidelines</w:t>
      </w:r>
      <w:r w:rsidR="00346575" w:rsidRPr="00F0543F">
        <w:rPr>
          <w:sz w:val="22"/>
          <w:szCs w:val="22"/>
        </w:rPr>
        <w:t xml:space="preserve"> in order to provide assurance on the financial management and procurement arrangements of the projects</w:t>
      </w:r>
      <w:r w:rsidR="000F07C3" w:rsidRPr="00F0543F">
        <w:rPr>
          <w:sz w:val="22"/>
          <w:szCs w:val="22"/>
        </w:rPr>
        <w:t xml:space="preserve"> in accordance with ISA 800</w:t>
      </w:r>
      <w:r w:rsidRPr="00F0543F">
        <w:rPr>
          <w:sz w:val="22"/>
          <w:szCs w:val="22"/>
        </w:rPr>
        <w:t>.</w:t>
      </w:r>
      <w:r w:rsidR="00142CDF" w:rsidRPr="00F0543F">
        <w:rPr>
          <w:sz w:val="22"/>
          <w:szCs w:val="22"/>
        </w:rPr>
        <w:t xml:space="preserve"> </w:t>
      </w:r>
      <w:r w:rsidR="00062D28" w:rsidRPr="00F0543F">
        <w:rPr>
          <w:sz w:val="22"/>
          <w:szCs w:val="22"/>
        </w:rPr>
        <w:t>Accordingly,</w:t>
      </w:r>
      <w:r w:rsidR="00D91422" w:rsidRPr="00F0543F">
        <w:rPr>
          <w:sz w:val="22"/>
          <w:szCs w:val="22"/>
        </w:rPr>
        <w:t xml:space="preserve"> the </w:t>
      </w:r>
      <w:r w:rsidR="004766FA" w:rsidRPr="00F0543F">
        <w:rPr>
          <w:sz w:val="22"/>
          <w:szCs w:val="22"/>
        </w:rPr>
        <w:t>Auditor</w:t>
      </w:r>
      <w:r w:rsidR="00D91422" w:rsidRPr="00F0543F">
        <w:rPr>
          <w:sz w:val="22"/>
          <w:szCs w:val="22"/>
        </w:rPr>
        <w:t xml:space="preserve"> should review and assess the conclusions drawn from the audit evidence during the special purpose audit engagement as the basis for the expression of a clear written audit opinion. </w:t>
      </w:r>
      <w:r w:rsidR="00B410D6" w:rsidRPr="00F0543F">
        <w:rPr>
          <w:sz w:val="22"/>
          <w:szCs w:val="22"/>
        </w:rPr>
        <w:t>Moreover, t</w:t>
      </w:r>
      <w:r w:rsidR="00142CDF" w:rsidRPr="00F0543F">
        <w:rPr>
          <w:sz w:val="22"/>
          <w:szCs w:val="22"/>
        </w:rPr>
        <w:t xml:space="preserve">he </w:t>
      </w:r>
      <w:r w:rsidR="004766FA" w:rsidRPr="00F0543F">
        <w:rPr>
          <w:sz w:val="22"/>
          <w:szCs w:val="22"/>
        </w:rPr>
        <w:t>Auditor</w:t>
      </w:r>
      <w:r w:rsidR="00142CDF" w:rsidRPr="00F0543F">
        <w:rPr>
          <w:sz w:val="22"/>
          <w:szCs w:val="22"/>
        </w:rPr>
        <w:t xml:space="preserve"> should obtain from management a Representation Letter as evidence of management’s assertions in the</w:t>
      </w:r>
      <w:r w:rsidR="00377955" w:rsidRPr="00F0543F">
        <w:rPr>
          <w:sz w:val="22"/>
          <w:szCs w:val="22"/>
        </w:rPr>
        <w:t xml:space="preserve"> project</w:t>
      </w:r>
      <w:r w:rsidR="00142CDF" w:rsidRPr="00F0543F">
        <w:rPr>
          <w:sz w:val="22"/>
          <w:szCs w:val="22"/>
        </w:rPr>
        <w:t xml:space="preserve"> financial statements</w:t>
      </w:r>
      <w:r w:rsidR="00B410D6" w:rsidRPr="00F0543F">
        <w:rPr>
          <w:sz w:val="22"/>
          <w:szCs w:val="22"/>
        </w:rPr>
        <w:t xml:space="preserve"> in accordance with ISA 580</w:t>
      </w:r>
      <w:r w:rsidR="00142CDF" w:rsidRPr="00F0543F">
        <w:rPr>
          <w:sz w:val="22"/>
          <w:szCs w:val="22"/>
        </w:rPr>
        <w:t xml:space="preserve">. </w:t>
      </w:r>
    </w:p>
    <w:p w14:paraId="396DC073" w14:textId="77777777" w:rsidR="009A5B2F" w:rsidRPr="00F0543F" w:rsidRDefault="00B81B21" w:rsidP="0030059F">
      <w:pPr>
        <w:pStyle w:val="Heading5"/>
        <w:numPr>
          <w:ilvl w:val="0"/>
          <w:numId w:val="17"/>
        </w:numPr>
        <w:tabs>
          <w:tab w:val="left" w:pos="0"/>
        </w:tabs>
        <w:jc w:val="both"/>
        <w:rPr>
          <w:sz w:val="22"/>
          <w:szCs w:val="22"/>
        </w:rPr>
      </w:pPr>
      <w:r w:rsidRPr="00F0543F">
        <w:rPr>
          <w:sz w:val="22"/>
          <w:szCs w:val="22"/>
        </w:rPr>
        <w:t xml:space="preserve">The audit will be carried out in accordance with International Standards on Auditing, having regard to relevant </w:t>
      </w:r>
      <w:r w:rsidR="003A536E" w:rsidRPr="00F0543F">
        <w:rPr>
          <w:sz w:val="22"/>
          <w:szCs w:val="22"/>
        </w:rPr>
        <w:t>Loan/Grant</w:t>
      </w:r>
      <w:r w:rsidRPr="00F0543F">
        <w:rPr>
          <w:sz w:val="22"/>
          <w:szCs w:val="22"/>
        </w:rPr>
        <w:t xml:space="preserve"> agreements and World Bank particular requirements</w:t>
      </w:r>
      <w:r w:rsidR="00AB33C9" w:rsidRPr="00F0543F">
        <w:rPr>
          <w:sz w:val="22"/>
          <w:szCs w:val="22"/>
        </w:rPr>
        <w:t xml:space="preserve">. </w:t>
      </w:r>
      <w:r w:rsidR="00134FE6" w:rsidRPr="00F0543F">
        <w:rPr>
          <w:sz w:val="22"/>
          <w:szCs w:val="22"/>
        </w:rPr>
        <w:t xml:space="preserve">The audit </w:t>
      </w:r>
      <w:r w:rsidR="00B563A6" w:rsidRPr="00F0543F">
        <w:rPr>
          <w:sz w:val="22"/>
          <w:szCs w:val="22"/>
        </w:rPr>
        <w:t>shall</w:t>
      </w:r>
      <w:r w:rsidR="00CD526A" w:rsidRPr="00F0543F">
        <w:rPr>
          <w:sz w:val="22"/>
          <w:szCs w:val="22"/>
        </w:rPr>
        <w:t xml:space="preserve"> </w:t>
      </w:r>
      <w:r w:rsidR="00134FE6" w:rsidRPr="00F0543F">
        <w:rPr>
          <w:sz w:val="22"/>
          <w:szCs w:val="22"/>
        </w:rPr>
        <w:t xml:space="preserve">provide assurance on the effectiveness of the internal controls surrounding statements of expenditure. </w:t>
      </w:r>
      <w:r w:rsidR="00B51E4C" w:rsidRPr="00F0543F">
        <w:rPr>
          <w:sz w:val="22"/>
          <w:szCs w:val="22"/>
        </w:rPr>
        <w:t>The scope of the audit procedures must be aligned with the World Bank scope requirements to ensure compliance with the engagement.</w:t>
      </w:r>
      <w:r w:rsidR="00AB33C9" w:rsidRPr="00F0543F">
        <w:rPr>
          <w:sz w:val="22"/>
          <w:szCs w:val="22"/>
        </w:rPr>
        <w:t xml:space="preserve"> Planning and conducting the audit will be in accordance with a risk based framework and a detailed </w:t>
      </w:r>
      <w:r w:rsidR="00C001DF" w:rsidRPr="00F0543F">
        <w:rPr>
          <w:sz w:val="22"/>
          <w:szCs w:val="22"/>
        </w:rPr>
        <w:t xml:space="preserve">and documented </w:t>
      </w:r>
      <w:r w:rsidR="00AB33C9" w:rsidRPr="00F0543F">
        <w:rPr>
          <w:sz w:val="22"/>
          <w:szCs w:val="22"/>
        </w:rPr>
        <w:t>audit work program. The audit coverage will consider the risk of material misstatement as a result of error or fraud.</w:t>
      </w:r>
      <w:r w:rsidR="00ED40FE" w:rsidRPr="00F0543F">
        <w:rPr>
          <w:sz w:val="22"/>
          <w:szCs w:val="22"/>
        </w:rPr>
        <w:t xml:space="preserve"> A description of the nature, </w:t>
      </w:r>
      <w:r w:rsidR="00B825AC" w:rsidRPr="00F0543F">
        <w:rPr>
          <w:sz w:val="22"/>
          <w:szCs w:val="22"/>
        </w:rPr>
        <w:t>timing,</w:t>
      </w:r>
      <w:r w:rsidR="00ED40FE" w:rsidRPr="00F0543F">
        <w:rPr>
          <w:sz w:val="22"/>
          <w:szCs w:val="22"/>
        </w:rPr>
        <w:t xml:space="preserve"> and extent of the planned risk assessment procedures sufficient to assess the risk of material misstatement should be properly documented. </w:t>
      </w:r>
      <w:r w:rsidR="00C003FE" w:rsidRPr="00F0543F">
        <w:rPr>
          <w:sz w:val="22"/>
          <w:szCs w:val="22"/>
        </w:rPr>
        <w:t xml:space="preserve">A documentation of the assessment and </w:t>
      </w:r>
      <w:r w:rsidR="00B563A6" w:rsidRPr="00F0543F">
        <w:rPr>
          <w:sz w:val="22"/>
          <w:szCs w:val="22"/>
        </w:rPr>
        <w:t>determining</w:t>
      </w:r>
      <w:r w:rsidR="00C003FE" w:rsidRPr="00F0543F">
        <w:rPr>
          <w:sz w:val="22"/>
          <w:szCs w:val="22"/>
        </w:rPr>
        <w:t xml:space="preserve"> of the audit materiality (ISA 320) and its relationship with audit risk when conducting an audit should be done. </w:t>
      </w:r>
      <w:r w:rsidR="00AB33C9" w:rsidRPr="00F0543F">
        <w:rPr>
          <w:sz w:val="22"/>
          <w:szCs w:val="22"/>
        </w:rPr>
        <w:t xml:space="preserve">The audit program should include </w:t>
      </w:r>
      <w:r w:rsidR="008E7FD6" w:rsidRPr="00F0543F">
        <w:rPr>
          <w:sz w:val="22"/>
          <w:szCs w:val="22"/>
        </w:rPr>
        <w:t>procedures, which</w:t>
      </w:r>
      <w:r w:rsidR="00AB33C9" w:rsidRPr="00F0543F">
        <w:rPr>
          <w:sz w:val="22"/>
          <w:szCs w:val="22"/>
        </w:rPr>
        <w:t xml:space="preserve"> are designed to provide reasonable assurance that material misstatements are detected.</w:t>
      </w:r>
      <w:r w:rsidR="00B563A6" w:rsidRPr="00F0543F">
        <w:rPr>
          <w:sz w:val="22"/>
          <w:szCs w:val="22"/>
        </w:rPr>
        <w:t xml:space="preserve"> Last but not least, </w:t>
      </w:r>
      <w:r w:rsidR="00390344" w:rsidRPr="00F0543F">
        <w:rPr>
          <w:sz w:val="22"/>
          <w:szCs w:val="22"/>
        </w:rPr>
        <w:t xml:space="preserve">the audit scope should include procedures aimed at detecting potential fraud. </w:t>
      </w:r>
      <w:r w:rsidR="009A5B2F" w:rsidRPr="00F0543F">
        <w:rPr>
          <w:sz w:val="22"/>
          <w:szCs w:val="22"/>
        </w:rPr>
        <w:t xml:space="preserve">Accordingly, the </w:t>
      </w:r>
      <w:r w:rsidR="004766FA" w:rsidRPr="00F0543F">
        <w:rPr>
          <w:sz w:val="22"/>
          <w:szCs w:val="22"/>
        </w:rPr>
        <w:t>Auditor</w:t>
      </w:r>
      <w:r w:rsidR="009A5B2F" w:rsidRPr="00F0543F">
        <w:rPr>
          <w:sz w:val="22"/>
          <w:szCs w:val="22"/>
        </w:rPr>
        <w:t xml:space="preserve"> should be aware of his responsibility to consider fraud in the audit of </w:t>
      </w:r>
      <w:r w:rsidR="00E6541E" w:rsidRPr="00F0543F">
        <w:rPr>
          <w:sz w:val="22"/>
          <w:szCs w:val="22"/>
        </w:rPr>
        <w:t xml:space="preserve">the project </w:t>
      </w:r>
      <w:r w:rsidR="009A5B2F" w:rsidRPr="00F0543F">
        <w:rPr>
          <w:sz w:val="22"/>
          <w:szCs w:val="22"/>
        </w:rPr>
        <w:t>financial statements as defined in ISA 240.</w:t>
      </w:r>
    </w:p>
    <w:p w14:paraId="427CC788" w14:textId="77777777" w:rsidR="00B81B21" w:rsidRPr="00F0543F" w:rsidRDefault="009A5B2F" w:rsidP="0030059F">
      <w:pPr>
        <w:pStyle w:val="Heading5"/>
        <w:numPr>
          <w:ilvl w:val="0"/>
          <w:numId w:val="17"/>
        </w:numPr>
        <w:tabs>
          <w:tab w:val="left" w:pos="0"/>
        </w:tabs>
        <w:jc w:val="both"/>
        <w:rPr>
          <w:sz w:val="22"/>
          <w:szCs w:val="22"/>
        </w:rPr>
      </w:pPr>
      <w:r w:rsidRPr="00F0543F">
        <w:rPr>
          <w:sz w:val="22"/>
          <w:szCs w:val="22"/>
        </w:rPr>
        <w:t xml:space="preserve"> </w:t>
      </w:r>
      <w:r w:rsidR="00ED40FE" w:rsidRPr="00F0543F">
        <w:rPr>
          <w:sz w:val="22"/>
          <w:szCs w:val="22"/>
        </w:rPr>
        <w:t xml:space="preserve">Below is a brief summary of </w:t>
      </w:r>
      <w:r w:rsidR="000D4E5F" w:rsidRPr="00F0543F">
        <w:rPr>
          <w:sz w:val="22"/>
          <w:szCs w:val="22"/>
        </w:rPr>
        <w:t>t</w:t>
      </w:r>
      <w:r w:rsidR="00A46E2C" w:rsidRPr="00F0543F">
        <w:rPr>
          <w:sz w:val="22"/>
          <w:szCs w:val="22"/>
        </w:rPr>
        <w:t xml:space="preserve">he </w:t>
      </w:r>
      <w:r w:rsidR="00ED40FE" w:rsidRPr="00F0543F">
        <w:rPr>
          <w:sz w:val="22"/>
          <w:szCs w:val="22"/>
        </w:rPr>
        <w:t xml:space="preserve">audit areas that require special </w:t>
      </w:r>
      <w:r w:rsidR="00B81B21" w:rsidRPr="00F0543F">
        <w:rPr>
          <w:sz w:val="22"/>
          <w:szCs w:val="22"/>
        </w:rPr>
        <w:t>attention:</w:t>
      </w:r>
    </w:p>
    <w:p w14:paraId="47FF7862" w14:textId="77777777" w:rsidR="00B81B21" w:rsidRPr="00F0543F" w:rsidRDefault="00B81B21" w:rsidP="00B81B21">
      <w:pPr>
        <w:numPr>
          <w:ilvl w:val="1"/>
          <w:numId w:val="12"/>
        </w:numPr>
        <w:jc w:val="both"/>
        <w:rPr>
          <w:sz w:val="22"/>
          <w:szCs w:val="22"/>
        </w:rPr>
      </w:pPr>
      <w:r w:rsidRPr="00F0543F">
        <w:rPr>
          <w:sz w:val="22"/>
          <w:szCs w:val="22"/>
        </w:rPr>
        <w:t xml:space="preserve">All funds </w:t>
      </w:r>
      <w:r w:rsidR="00195B8B" w:rsidRPr="00F0543F">
        <w:rPr>
          <w:sz w:val="22"/>
          <w:szCs w:val="22"/>
        </w:rPr>
        <w:t>disbursed</w:t>
      </w:r>
      <w:r w:rsidRPr="00F0543F">
        <w:rPr>
          <w:sz w:val="22"/>
          <w:szCs w:val="22"/>
        </w:rPr>
        <w:t xml:space="preserve"> </w:t>
      </w:r>
      <w:r w:rsidR="00195B8B" w:rsidRPr="00F0543F">
        <w:rPr>
          <w:sz w:val="22"/>
          <w:szCs w:val="22"/>
        </w:rPr>
        <w:t>under</w:t>
      </w:r>
      <w:r w:rsidRPr="00F0543F">
        <w:rPr>
          <w:sz w:val="22"/>
          <w:szCs w:val="22"/>
        </w:rPr>
        <w:t xml:space="preserve"> the Project </w:t>
      </w:r>
      <w:r w:rsidR="00195B8B" w:rsidRPr="00F0543F">
        <w:rPr>
          <w:sz w:val="22"/>
          <w:szCs w:val="22"/>
        </w:rPr>
        <w:t xml:space="preserve">are eligible, </w:t>
      </w:r>
      <w:r w:rsidRPr="00F0543F">
        <w:rPr>
          <w:sz w:val="22"/>
          <w:szCs w:val="22"/>
        </w:rPr>
        <w:t xml:space="preserve">have been used, accounted for and classified in accordance with the relevant </w:t>
      </w:r>
      <w:r w:rsidR="00325F4D" w:rsidRPr="00F0543F">
        <w:rPr>
          <w:sz w:val="22"/>
          <w:szCs w:val="22"/>
        </w:rPr>
        <w:t>Loan/Grant</w:t>
      </w:r>
      <w:r w:rsidR="008F5913" w:rsidRPr="00F0543F">
        <w:rPr>
          <w:sz w:val="22"/>
          <w:szCs w:val="22"/>
        </w:rPr>
        <w:t xml:space="preserve"> </w:t>
      </w:r>
      <w:r w:rsidRPr="00F0543F">
        <w:rPr>
          <w:sz w:val="22"/>
          <w:szCs w:val="22"/>
        </w:rPr>
        <w:t>agreements</w:t>
      </w:r>
      <w:r w:rsidR="00345475" w:rsidRPr="00F0543F">
        <w:rPr>
          <w:sz w:val="22"/>
          <w:szCs w:val="22"/>
        </w:rPr>
        <w:t xml:space="preserve"> and all the disbursements made on behalf of the project are in accordance with the World bank disbursement guidelines</w:t>
      </w:r>
      <w:r w:rsidRPr="00F0543F">
        <w:rPr>
          <w:sz w:val="22"/>
          <w:szCs w:val="22"/>
        </w:rPr>
        <w:t>;</w:t>
      </w:r>
    </w:p>
    <w:p w14:paraId="2EBA287C" w14:textId="77777777" w:rsidR="00B81B21" w:rsidRPr="00F0543F" w:rsidRDefault="00B81B21" w:rsidP="00B81B21">
      <w:pPr>
        <w:jc w:val="both"/>
        <w:rPr>
          <w:sz w:val="22"/>
          <w:szCs w:val="22"/>
        </w:rPr>
      </w:pPr>
    </w:p>
    <w:p w14:paraId="36AFF191" w14:textId="77777777" w:rsidR="00B81B21" w:rsidRPr="00F0543F" w:rsidRDefault="00253D7C" w:rsidP="00B81B21">
      <w:pPr>
        <w:numPr>
          <w:ilvl w:val="1"/>
          <w:numId w:val="12"/>
        </w:numPr>
        <w:jc w:val="both"/>
        <w:rPr>
          <w:sz w:val="22"/>
          <w:szCs w:val="22"/>
        </w:rPr>
      </w:pPr>
      <w:r w:rsidRPr="00F0543F">
        <w:rPr>
          <w:sz w:val="22"/>
          <w:szCs w:val="22"/>
        </w:rPr>
        <w:t xml:space="preserve">The </w:t>
      </w:r>
      <w:r w:rsidR="00B81B21" w:rsidRPr="00F0543F">
        <w:rPr>
          <w:sz w:val="22"/>
          <w:szCs w:val="22"/>
        </w:rPr>
        <w:t xml:space="preserve">PFS </w:t>
      </w:r>
      <w:r w:rsidR="00BB51AE" w:rsidRPr="00F0543F">
        <w:rPr>
          <w:sz w:val="22"/>
          <w:szCs w:val="22"/>
        </w:rPr>
        <w:t xml:space="preserve">are </w:t>
      </w:r>
      <w:r w:rsidRPr="00F0543F">
        <w:rPr>
          <w:sz w:val="22"/>
          <w:szCs w:val="22"/>
        </w:rPr>
        <w:t>prepared in accordance with</w:t>
      </w:r>
      <w:r w:rsidR="00B81B21" w:rsidRPr="00F0543F">
        <w:rPr>
          <w:sz w:val="22"/>
          <w:szCs w:val="22"/>
        </w:rPr>
        <w:t xml:space="preserve"> </w:t>
      </w:r>
      <w:r w:rsidR="00801563" w:rsidRPr="00F0543F">
        <w:rPr>
          <w:sz w:val="22"/>
          <w:szCs w:val="22"/>
        </w:rPr>
        <w:t>the International Public Sector Accounting Standards, under the cash basis of accounting</w:t>
      </w:r>
      <w:r w:rsidRPr="00F0543F">
        <w:rPr>
          <w:sz w:val="22"/>
          <w:szCs w:val="22"/>
        </w:rPr>
        <w:t xml:space="preserve"> and give a true and fair view of the financial operations of the project within the year. Any material deviations from those </w:t>
      </w:r>
      <w:r w:rsidR="00C406AA" w:rsidRPr="00F0543F">
        <w:rPr>
          <w:sz w:val="22"/>
          <w:szCs w:val="22"/>
        </w:rPr>
        <w:t>standards and</w:t>
      </w:r>
      <w:r w:rsidRPr="00F0543F">
        <w:rPr>
          <w:sz w:val="22"/>
          <w:szCs w:val="22"/>
        </w:rPr>
        <w:t xml:space="preserve"> the impact of such departures on the project financial statements as presented would be stated</w:t>
      </w:r>
      <w:r w:rsidR="00801563" w:rsidRPr="00F0543F">
        <w:rPr>
          <w:sz w:val="22"/>
          <w:szCs w:val="22"/>
        </w:rPr>
        <w:t>;</w:t>
      </w:r>
    </w:p>
    <w:p w14:paraId="16D31D52" w14:textId="77777777" w:rsidR="0027242A" w:rsidRPr="00F0543F" w:rsidRDefault="0027242A" w:rsidP="008C0BD5">
      <w:pPr>
        <w:ind w:left="720" w:right="-151"/>
        <w:jc w:val="both"/>
        <w:rPr>
          <w:sz w:val="22"/>
          <w:szCs w:val="22"/>
        </w:rPr>
      </w:pPr>
    </w:p>
    <w:p w14:paraId="3C189DDE" w14:textId="77777777" w:rsidR="00B81B21" w:rsidRPr="00F0543F" w:rsidRDefault="0027242A" w:rsidP="008C0BD5">
      <w:pPr>
        <w:numPr>
          <w:ilvl w:val="1"/>
          <w:numId w:val="12"/>
        </w:numPr>
        <w:ind w:right="-151"/>
        <w:jc w:val="both"/>
        <w:rPr>
          <w:sz w:val="22"/>
          <w:szCs w:val="22"/>
        </w:rPr>
      </w:pPr>
      <w:r w:rsidRPr="00F0543F">
        <w:rPr>
          <w:sz w:val="22"/>
          <w:szCs w:val="22"/>
        </w:rPr>
        <w:t xml:space="preserve">An assessment of the </w:t>
      </w:r>
      <w:r w:rsidR="00D0489B" w:rsidRPr="00F0543F">
        <w:rPr>
          <w:sz w:val="22"/>
          <w:szCs w:val="22"/>
        </w:rPr>
        <w:t xml:space="preserve">effectiveness of the </w:t>
      </w:r>
      <w:r w:rsidRPr="00F0543F">
        <w:rPr>
          <w:sz w:val="22"/>
          <w:szCs w:val="22"/>
        </w:rPr>
        <w:t xml:space="preserve">internal controls </w:t>
      </w:r>
      <w:r w:rsidR="00BD0C15" w:rsidRPr="00F0543F">
        <w:rPr>
          <w:sz w:val="22"/>
          <w:szCs w:val="22"/>
        </w:rPr>
        <w:t xml:space="preserve">over financial reporting </w:t>
      </w:r>
      <w:r w:rsidRPr="00F0543F">
        <w:rPr>
          <w:sz w:val="22"/>
          <w:szCs w:val="22"/>
        </w:rPr>
        <w:t xml:space="preserve">involved in the preparation of </w:t>
      </w:r>
      <w:r w:rsidR="00BD0C15" w:rsidRPr="00F0543F">
        <w:rPr>
          <w:sz w:val="22"/>
          <w:szCs w:val="22"/>
        </w:rPr>
        <w:t>replenishments, direct payments, payments through special commitments, and reimbursements i.e. expenditures reimbursed on the basis of Statements of Expenditures can be relied upon to support the related withdrawals;</w:t>
      </w:r>
    </w:p>
    <w:p w14:paraId="176D27A4" w14:textId="77777777" w:rsidR="00627AF8" w:rsidRPr="00F0543F" w:rsidRDefault="00627AF8" w:rsidP="008C0BD5">
      <w:pPr>
        <w:ind w:left="720" w:right="-151"/>
        <w:jc w:val="both"/>
        <w:rPr>
          <w:sz w:val="22"/>
          <w:szCs w:val="22"/>
        </w:rPr>
      </w:pPr>
    </w:p>
    <w:p w14:paraId="519677D3" w14:textId="77777777" w:rsidR="00B81B21" w:rsidRPr="00F0543F" w:rsidRDefault="00B81B21" w:rsidP="008C0BD5">
      <w:pPr>
        <w:numPr>
          <w:ilvl w:val="1"/>
          <w:numId w:val="12"/>
        </w:numPr>
        <w:ind w:right="-151"/>
        <w:jc w:val="both"/>
        <w:rPr>
          <w:sz w:val="22"/>
          <w:szCs w:val="22"/>
        </w:rPr>
      </w:pPr>
      <w:r w:rsidRPr="00F0543F">
        <w:rPr>
          <w:sz w:val="22"/>
          <w:szCs w:val="22"/>
        </w:rPr>
        <w:t xml:space="preserve">Goods and services financed have been procured in accordance with </w:t>
      </w:r>
      <w:r w:rsidR="00444DE6" w:rsidRPr="00F0543F">
        <w:rPr>
          <w:sz w:val="22"/>
          <w:szCs w:val="22"/>
        </w:rPr>
        <w:t xml:space="preserve">World Bank Procurement Guidelines </w:t>
      </w:r>
      <w:r w:rsidR="00613DF5" w:rsidRPr="00F0543F">
        <w:rPr>
          <w:sz w:val="22"/>
          <w:szCs w:val="22"/>
        </w:rPr>
        <w:t>revised October 1, 2006,</w:t>
      </w:r>
      <w:r w:rsidR="00335D91" w:rsidRPr="00F0543F">
        <w:rPr>
          <w:sz w:val="22"/>
          <w:szCs w:val="22"/>
        </w:rPr>
        <w:t xml:space="preserve"> May 1, </w:t>
      </w:r>
      <w:r w:rsidR="00C406AA" w:rsidRPr="00F0543F">
        <w:rPr>
          <w:sz w:val="22"/>
          <w:szCs w:val="22"/>
        </w:rPr>
        <w:t>2010, July</w:t>
      </w:r>
      <w:r w:rsidR="00613DF5" w:rsidRPr="00F0543F">
        <w:rPr>
          <w:sz w:val="22"/>
          <w:szCs w:val="22"/>
        </w:rPr>
        <w:t xml:space="preserve"> 2014</w:t>
      </w:r>
      <w:r w:rsidR="005E5E5A" w:rsidRPr="00F0543F">
        <w:rPr>
          <w:sz w:val="22"/>
          <w:szCs w:val="22"/>
        </w:rPr>
        <w:t xml:space="preserve"> and July 1, 2016 (according to each’s financing terms)</w:t>
      </w:r>
      <w:r w:rsidR="00444DE6" w:rsidRPr="00F0543F">
        <w:rPr>
          <w:sz w:val="22"/>
          <w:szCs w:val="22"/>
        </w:rPr>
        <w:t>;</w:t>
      </w:r>
    </w:p>
    <w:p w14:paraId="147FAACD" w14:textId="77777777" w:rsidR="00444DE6" w:rsidRPr="00F0543F" w:rsidRDefault="00444DE6" w:rsidP="008C0BD5">
      <w:pPr>
        <w:ind w:left="720" w:right="-151"/>
        <w:jc w:val="both"/>
        <w:rPr>
          <w:sz w:val="22"/>
          <w:szCs w:val="22"/>
        </w:rPr>
      </w:pPr>
    </w:p>
    <w:p w14:paraId="00C84974" w14:textId="77777777" w:rsidR="00B81B21" w:rsidRPr="00F0543F" w:rsidRDefault="00B81B21" w:rsidP="008C0BD5">
      <w:pPr>
        <w:numPr>
          <w:ilvl w:val="1"/>
          <w:numId w:val="12"/>
        </w:numPr>
        <w:ind w:right="-151"/>
        <w:jc w:val="both"/>
        <w:rPr>
          <w:sz w:val="22"/>
          <w:szCs w:val="22"/>
        </w:rPr>
      </w:pPr>
      <w:r w:rsidRPr="00F0543F">
        <w:rPr>
          <w:sz w:val="22"/>
          <w:szCs w:val="22"/>
        </w:rPr>
        <w:t>All necessary copy of supporting documents, records, and accounts have been kept in respect of all project</w:t>
      </w:r>
      <w:r w:rsidR="00D034F4" w:rsidRPr="00F0543F">
        <w:rPr>
          <w:sz w:val="22"/>
          <w:szCs w:val="22"/>
        </w:rPr>
        <w:t>s</w:t>
      </w:r>
      <w:r w:rsidR="00F73AA3" w:rsidRPr="00F0543F">
        <w:rPr>
          <w:sz w:val="22"/>
          <w:szCs w:val="22"/>
        </w:rPr>
        <w:t xml:space="preserve">. </w:t>
      </w:r>
      <w:r w:rsidRPr="00F0543F">
        <w:rPr>
          <w:sz w:val="22"/>
          <w:szCs w:val="22"/>
        </w:rPr>
        <w:t xml:space="preserve">Clear linkages should exist between the books of account and </w:t>
      </w:r>
      <w:r w:rsidR="00EB3A35" w:rsidRPr="00F0543F">
        <w:rPr>
          <w:sz w:val="22"/>
          <w:szCs w:val="22"/>
        </w:rPr>
        <w:t>the Project Financial Statements (PFS)</w:t>
      </w:r>
      <w:r w:rsidRPr="00F0543F">
        <w:rPr>
          <w:sz w:val="22"/>
          <w:szCs w:val="22"/>
        </w:rPr>
        <w:t xml:space="preserve"> presented to the Bank;</w:t>
      </w:r>
    </w:p>
    <w:p w14:paraId="1EB6857D" w14:textId="77777777" w:rsidR="00B81B21" w:rsidRPr="00F0543F" w:rsidRDefault="00B81B21" w:rsidP="008C0BD5">
      <w:pPr>
        <w:ind w:right="-151"/>
        <w:jc w:val="both"/>
        <w:rPr>
          <w:sz w:val="22"/>
          <w:szCs w:val="22"/>
        </w:rPr>
      </w:pPr>
    </w:p>
    <w:p w14:paraId="5B2BD58A" w14:textId="77777777" w:rsidR="00B81B21" w:rsidRPr="00F0543F" w:rsidRDefault="005E5E5A" w:rsidP="008C0BD5">
      <w:pPr>
        <w:numPr>
          <w:ilvl w:val="1"/>
          <w:numId w:val="12"/>
        </w:numPr>
        <w:ind w:right="-151"/>
        <w:jc w:val="both"/>
        <w:rPr>
          <w:sz w:val="22"/>
          <w:szCs w:val="22"/>
        </w:rPr>
      </w:pPr>
      <w:r w:rsidRPr="00F0543F">
        <w:rPr>
          <w:sz w:val="22"/>
          <w:szCs w:val="22"/>
        </w:rPr>
        <w:t xml:space="preserve">Where </w:t>
      </w:r>
      <w:r w:rsidR="00BC50AB" w:rsidRPr="00F0543F">
        <w:rPr>
          <w:sz w:val="22"/>
          <w:szCs w:val="22"/>
        </w:rPr>
        <w:t>Designated</w:t>
      </w:r>
      <w:r w:rsidR="00B81B21" w:rsidRPr="00F0543F">
        <w:rPr>
          <w:sz w:val="22"/>
          <w:szCs w:val="22"/>
        </w:rPr>
        <w:t xml:space="preserve"> Accounts have been used, they have been maintained in accordance with the provisions of the relevant </w:t>
      </w:r>
      <w:r w:rsidR="00D95396" w:rsidRPr="00F0543F">
        <w:rPr>
          <w:sz w:val="22"/>
          <w:szCs w:val="22"/>
        </w:rPr>
        <w:t xml:space="preserve">Loan/ Grant </w:t>
      </w:r>
      <w:r w:rsidR="00B81B21" w:rsidRPr="00F0543F">
        <w:rPr>
          <w:sz w:val="22"/>
          <w:szCs w:val="22"/>
        </w:rPr>
        <w:t>agreement</w:t>
      </w:r>
      <w:r w:rsidR="00D56111" w:rsidRPr="00F0543F">
        <w:rPr>
          <w:sz w:val="22"/>
          <w:szCs w:val="22"/>
        </w:rPr>
        <w:t>s</w:t>
      </w:r>
      <w:r w:rsidR="00B81B21" w:rsidRPr="00F0543F">
        <w:rPr>
          <w:sz w:val="22"/>
          <w:szCs w:val="22"/>
        </w:rPr>
        <w:t>;</w:t>
      </w:r>
    </w:p>
    <w:p w14:paraId="3BABFF43" w14:textId="77777777" w:rsidR="002A5636" w:rsidRPr="00F0543F" w:rsidRDefault="002A5636" w:rsidP="008C0BD5">
      <w:pPr>
        <w:ind w:left="720" w:right="-151"/>
        <w:jc w:val="both"/>
        <w:rPr>
          <w:sz w:val="22"/>
          <w:szCs w:val="22"/>
        </w:rPr>
      </w:pPr>
    </w:p>
    <w:p w14:paraId="506C93B1" w14:textId="77777777" w:rsidR="002A5636" w:rsidRPr="00F0543F" w:rsidRDefault="001262E7" w:rsidP="008C0BD5">
      <w:pPr>
        <w:numPr>
          <w:ilvl w:val="1"/>
          <w:numId w:val="12"/>
        </w:numPr>
        <w:ind w:right="-151"/>
        <w:jc w:val="both"/>
        <w:rPr>
          <w:sz w:val="22"/>
          <w:szCs w:val="22"/>
        </w:rPr>
      </w:pPr>
      <w:r w:rsidRPr="00F0543F">
        <w:rPr>
          <w:sz w:val="22"/>
          <w:szCs w:val="22"/>
        </w:rPr>
        <w:t xml:space="preserve">Project expenditures as reported by the </w:t>
      </w:r>
      <w:r w:rsidR="00AA6890" w:rsidRPr="00F0543F">
        <w:rPr>
          <w:sz w:val="22"/>
          <w:szCs w:val="22"/>
        </w:rPr>
        <w:t xml:space="preserve">Governing Body </w:t>
      </w:r>
      <w:r w:rsidRPr="00F0543F">
        <w:rPr>
          <w:sz w:val="22"/>
          <w:szCs w:val="22"/>
        </w:rPr>
        <w:t>are reconciled with the amounts withdrawn from the Special</w:t>
      </w:r>
      <w:r w:rsidR="00BC50AB" w:rsidRPr="00F0543F">
        <w:rPr>
          <w:sz w:val="22"/>
          <w:szCs w:val="22"/>
        </w:rPr>
        <w:t>/ Designated</w:t>
      </w:r>
      <w:r w:rsidRPr="00F0543F">
        <w:rPr>
          <w:sz w:val="22"/>
          <w:szCs w:val="22"/>
        </w:rPr>
        <w:t xml:space="preserve"> Account an</w:t>
      </w:r>
      <w:r w:rsidR="00BC50AB" w:rsidRPr="00F0543F">
        <w:rPr>
          <w:sz w:val="22"/>
          <w:szCs w:val="22"/>
        </w:rPr>
        <w:t>d the amounts deposited to the S</w:t>
      </w:r>
      <w:r w:rsidRPr="00F0543F">
        <w:rPr>
          <w:sz w:val="22"/>
          <w:szCs w:val="22"/>
        </w:rPr>
        <w:t>pecial</w:t>
      </w:r>
      <w:r w:rsidR="00BC50AB" w:rsidRPr="00F0543F">
        <w:rPr>
          <w:sz w:val="22"/>
          <w:szCs w:val="22"/>
        </w:rPr>
        <w:t>/ Designated</w:t>
      </w:r>
      <w:r w:rsidRPr="00F0543F">
        <w:rPr>
          <w:sz w:val="22"/>
          <w:szCs w:val="22"/>
        </w:rPr>
        <w:t xml:space="preserve"> account are reconciled with the amounts disbursed from the Loan/ Grant agreement</w:t>
      </w:r>
      <w:r w:rsidR="00D56111" w:rsidRPr="00F0543F">
        <w:rPr>
          <w:sz w:val="22"/>
          <w:szCs w:val="22"/>
        </w:rPr>
        <w:t>s</w:t>
      </w:r>
      <w:r w:rsidRPr="00F0543F">
        <w:rPr>
          <w:sz w:val="22"/>
          <w:szCs w:val="22"/>
        </w:rPr>
        <w:t xml:space="preserve">. </w:t>
      </w:r>
    </w:p>
    <w:p w14:paraId="706ACBC8" w14:textId="77777777" w:rsidR="00B81B21" w:rsidRPr="00F0543F" w:rsidRDefault="00B81B21" w:rsidP="008C0BD5">
      <w:pPr>
        <w:ind w:right="-151"/>
        <w:jc w:val="both"/>
        <w:rPr>
          <w:sz w:val="22"/>
          <w:szCs w:val="22"/>
        </w:rPr>
      </w:pPr>
    </w:p>
    <w:p w14:paraId="4C18B9BB" w14:textId="77777777" w:rsidR="00B81B21" w:rsidRPr="00F0543F" w:rsidRDefault="00B81B21" w:rsidP="008C0BD5">
      <w:pPr>
        <w:pStyle w:val="Blockquote"/>
        <w:numPr>
          <w:ilvl w:val="1"/>
          <w:numId w:val="12"/>
        </w:numPr>
        <w:ind w:right="-151"/>
        <w:jc w:val="both"/>
        <w:rPr>
          <w:sz w:val="22"/>
          <w:szCs w:val="22"/>
        </w:rPr>
      </w:pPr>
      <w:r w:rsidRPr="00F0543F">
        <w:rPr>
          <w:sz w:val="22"/>
          <w:szCs w:val="22"/>
        </w:rPr>
        <w:t>Eligibility of expenditures claimed under Statement of Expenditures submitted to the World Bank for replenishment. This is in addition to substantiation of these expenditures;</w:t>
      </w:r>
    </w:p>
    <w:p w14:paraId="6B9A215C" w14:textId="77777777" w:rsidR="00DD175D" w:rsidRPr="00F0543F" w:rsidRDefault="00AB7ED7" w:rsidP="008C0BD5">
      <w:pPr>
        <w:pStyle w:val="Blockquote"/>
        <w:numPr>
          <w:ilvl w:val="1"/>
          <w:numId w:val="12"/>
        </w:numPr>
        <w:ind w:right="-151"/>
        <w:jc w:val="both"/>
        <w:rPr>
          <w:sz w:val="22"/>
          <w:szCs w:val="22"/>
        </w:rPr>
      </w:pPr>
      <w:r w:rsidRPr="00F0543F">
        <w:rPr>
          <w:sz w:val="22"/>
          <w:szCs w:val="22"/>
        </w:rPr>
        <w:t>An assessment of project implementation and whether financial and physical progress is consistent during the project period. The monitoring of the expenditures in relation to physical progress is validating that physical progress and disbursements are under proper financial control</w:t>
      </w:r>
    </w:p>
    <w:p w14:paraId="12FEABE1" w14:textId="77777777" w:rsidR="00243618" w:rsidRPr="00F0543F" w:rsidRDefault="00243618" w:rsidP="008C0BD5">
      <w:pPr>
        <w:pStyle w:val="Blockquote"/>
        <w:numPr>
          <w:ilvl w:val="1"/>
          <w:numId w:val="12"/>
        </w:numPr>
        <w:tabs>
          <w:tab w:val="left" w:pos="0"/>
        </w:tabs>
        <w:ind w:right="-151"/>
        <w:jc w:val="both"/>
        <w:rPr>
          <w:sz w:val="22"/>
          <w:szCs w:val="22"/>
        </w:rPr>
      </w:pPr>
      <w:r w:rsidRPr="00F0543F">
        <w:rPr>
          <w:sz w:val="22"/>
          <w:szCs w:val="22"/>
        </w:rPr>
        <w:t>Ensure that the fixed</w:t>
      </w:r>
      <w:r w:rsidR="00DD175D" w:rsidRPr="00F0543F">
        <w:rPr>
          <w:sz w:val="22"/>
          <w:szCs w:val="22"/>
        </w:rPr>
        <w:t xml:space="preserve"> </w:t>
      </w:r>
      <w:r w:rsidRPr="00F0543F">
        <w:rPr>
          <w:sz w:val="22"/>
          <w:szCs w:val="22"/>
        </w:rPr>
        <w:t xml:space="preserve">assets financed by the project are purchased in accordance </w:t>
      </w:r>
      <w:r w:rsidR="00062D28" w:rsidRPr="00F0543F">
        <w:rPr>
          <w:sz w:val="22"/>
          <w:szCs w:val="22"/>
        </w:rPr>
        <w:t>with contracts</w:t>
      </w:r>
      <w:r w:rsidRPr="00F0543F">
        <w:rPr>
          <w:sz w:val="22"/>
          <w:szCs w:val="22"/>
        </w:rPr>
        <w:t xml:space="preserve"> and payment documents</w:t>
      </w:r>
      <w:r w:rsidR="00DB1684" w:rsidRPr="00F0543F">
        <w:rPr>
          <w:sz w:val="22"/>
          <w:szCs w:val="22"/>
        </w:rPr>
        <w:t>, are used for the purpose for w</w:t>
      </w:r>
      <w:r w:rsidRPr="00F0543F">
        <w:rPr>
          <w:sz w:val="22"/>
          <w:szCs w:val="22"/>
        </w:rPr>
        <w:t xml:space="preserve">hich they were acquired and </w:t>
      </w:r>
      <w:r w:rsidR="00DB1684" w:rsidRPr="00F0543F">
        <w:rPr>
          <w:sz w:val="22"/>
          <w:szCs w:val="22"/>
        </w:rPr>
        <w:t xml:space="preserve">are </w:t>
      </w:r>
      <w:r w:rsidRPr="00F0543F">
        <w:rPr>
          <w:sz w:val="22"/>
          <w:szCs w:val="22"/>
        </w:rPr>
        <w:t xml:space="preserve">physically </w:t>
      </w:r>
      <w:r w:rsidR="00DB1684" w:rsidRPr="00F0543F">
        <w:rPr>
          <w:sz w:val="22"/>
          <w:szCs w:val="22"/>
        </w:rPr>
        <w:t>existent</w:t>
      </w:r>
      <w:r w:rsidRPr="00F0543F">
        <w:rPr>
          <w:sz w:val="22"/>
          <w:szCs w:val="22"/>
        </w:rPr>
        <w:t>;</w:t>
      </w:r>
    </w:p>
    <w:p w14:paraId="4F14881E" w14:textId="77777777" w:rsidR="006C0CC6" w:rsidRPr="00F0543F" w:rsidRDefault="006C0CC6" w:rsidP="008C0BD5">
      <w:pPr>
        <w:pStyle w:val="Blockquote"/>
        <w:numPr>
          <w:ilvl w:val="1"/>
          <w:numId w:val="12"/>
        </w:numPr>
        <w:tabs>
          <w:tab w:val="left" w:pos="0"/>
        </w:tabs>
        <w:ind w:right="-151"/>
        <w:jc w:val="both"/>
        <w:rPr>
          <w:sz w:val="22"/>
          <w:szCs w:val="22"/>
        </w:rPr>
      </w:pPr>
      <w:r w:rsidRPr="00F0543F">
        <w:rPr>
          <w:sz w:val="22"/>
          <w:szCs w:val="22"/>
        </w:rPr>
        <w:t>Verify that checks are signed by those authorized by management and negotiated by the intended payee under a specific contract and a</w:t>
      </w:r>
      <w:r w:rsidR="0080311C" w:rsidRPr="00F0543F">
        <w:rPr>
          <w:sz w:val="22"/>
          <w:szCs w:val="22"/>
        </w:rPr>
        <w:t>s</w:t>
      </w:r>
      <w:r w:rsidRPr="00F0543F">
        <w:rPr>
          <w:sz w:val="22"/>
          <w:szCs w:val="22"/>
        </w:rPr>
        <w:t xml:space="preserve"> required under the terms of the Loan/Grant agreement</w:t>
      </w:r>
      <w:r w:rsidR="00D56111" w:rsidRPr="00F0543F">
        <w:rPr>
          <w:sz w:val="22"/>
          <w:szCs w:val="22"/>
        </w:rPr>
        <w:t>s</w:t>
      </w:r>
      <w:r w:rsidRPr="00F0543F">
        <w:rPr>
          <w:sz w:val="22"/>
          <w:szCs w:val="22"/>
        </w:rPr>
        <w:t>;</w:t>
      </w:r>
    </w:p>
    <w:p w14:paraId="61B6B546" w14:textId="77777777" w:rsidR="00B81B21" w:rsidRPr="00F0543F" w:rsidRDefault="00B81B21" w:rsidP="008C0BD5">
      <w:pPr>
        <w:pStyle w:val="Blockquote"/>
        <w:numPr>
          <w:ilvl w:val="0"/>
          <w:numId w:val="17"/>
        </w:numPr>
        <w:tabs>
          <w:tab w:val="left" w:pos="0"/>
          <w:tab w:val="num" w:pos="360"/>
        </w:tabs>
        <w:ind w:right="-151"/>
        <w:jc w:val="both"/>
        <w:rPr>
          <w:sz w:val="22"/>
          <w:szCs w:val="22"/>
        </w:rPr>
      </w:pPr>
      <w:r w:rsidRPr="00F0543F">
        <w:rPr>
          <w:sz w:val="22"/>
          <w:szCs w:val="22"/>
        </w:rPr>
        <w:t xml:space="preserve">The </w:t>
      </w:r>
      <w:r w:rsidR="004766FA" w:rsidRPr="00F0543F">
        <w:rPr>
          <w:sz w:val="22"/>
          <w:szCs w:val="22"/>
        </w:rPr>
        <w:t>Auditor</w:t>
      </w:r>
      <w:r w:rsidRPr="00F0543F">
        <w:rPr>
          <w:sz w:val="22"/>
          <w:szCs w:val="22"/>
        </w:rPr>
        <w:t xml:space="preserve"> will be expected to review all correspondences with the World Bank in relation to the Project including copies of the Aide Memoires, Mission Reports, and assess progress on all financial issues. The </w:t>
      </w:r>
      <w:r w:rsidR="004766FA" w:rsidRPr="00F0543F">
        <w:rPr>
          <w:sz w:val="22"/>
          <w:szCs w:val="22"/>
        </w:rPr>
        <w:t>Auditor</w:t>
      </w:r>
      <w:r w:rsidRPr="00F0543F">
        <w:rPr>
          <w:sz w:val="22"/>
          <w:szCs w:val="22"/>
        </w:rPr>
        <w:t xml:space="preserve"> will pay special attention to any specific risk area as mentioned in the project documents (such as PAD, etc.)</w:t>
      </w:r>
    </w:p>
    <w:p w14:paraId="3955181F" w14:textId="77777777" w:rsidR="00755B73" w:rsidRPr="00F0543F" w:rsidRDefault="00755B73" w:rsidP="00755B73">
      <w:pPr>
        <w:rPr>
          <w:sz w:val="22"/>
          <w:szCs w:val="22"/>
        </w:rPr>
      </w:pPr>
    </w:p>
    <w:p w14:paraId="108B2100" w14:textId="77777777" w:rsidR="00B81B21" w:rsidRPr="00F0543F" w:rsidRDefault="00B81B21" w:rsidP="00B81B21">
      <w:pPr>
        <w:pStyle w:val="H4"/>
        <w:keepNext w:val="0"/>
        <w:ind w:right="357"/>
        <w:jc w:val="both"/>
        <w:outlineLvl w:val="9"/>
        <w:rPr>
          <w:sz w:val="22"/>
          <w:szCs w:val="22"/>
        </w:rPr>
      </w:pPr>
      <w:r w:rsidRPr="00F0543F">
        <w:rPr>
          <w:sz w:val="22"/>
          <w:szCs w:val="22"/>
        </w:rPr>
        <w:t xml:space="preserve">Audit Deliverables </w:t>
      </w:r>
    </w:p>
    <w:p w14:paraId="447DB845" w14:textId="77777777" w:rsidR="00755B73" w:rsidRPr="00F0543F" w:rsidRDefault="00755B73" w:rsidP="00755B73">
      <w:pPr>
        <w:rPr>
          <w:sz w:val="22"/>
          <w:szCs w:val="22"/>
        </w:rPr>
      </w:pPr>
    </w:p>
    <w:p w14:paraId="2612FC8B" w14:textId="77777777" w:rsidR="00B81B21" w:rsidRPr="00F0543F" w:rsidRDefault="00E74DF9" w:rsidP="004766FA">
      <w:pPr>
        <w:pStyle w:val="Heading5"/>
        <w:numPr>
          <w:ilvl w:val="0"/>
          <w:numId w:val="17"/>
        </w:numPr>
        <w:tabs>
          <w:tab w:val="left" w:pos="0"/>
        </w:tabs>
        <w:jc w:val="both"/>
        <w:rPr>
          <w:sz w:val="22"/>
          <w:szCs w:val="22"/>
        </w:rPr>
      </w:pPr>
      <w:r w:rsidRPr="00F0543F">
        <w:rPr>
          <w:sz w:val="22"/>
          <w:szCs w:val="22"/>
        </w:rPr>
        <w:t xml:space="preserve">For all projects, </w:t>
      </w:r>
      <w:r w:rsidR="004766FA" w:rsidRPr="00F0543F">
        <w:rPr>
          <w:sz w:val="22"/>
          <w:szCs w:val="22"/>
        </w:rPr>
        <w:t xml:space="preserve">the following is requested as deliverables </w:t>
      </w:r>
      <w:r w:rsidRPr="00F0543F">
        <w:rPr>
          <w:sz w:val="22"/>
          <w:szCs w:val="22"/>
        </w:rPr>
        <w:t>on a yearly basis from</w:t>
      </w:r>
      <w:r w:rsidR="00B81B21" w:rsidRPr="00F0543F">
        <w:rPr>
          <w:sz w:val="22"/>
          <w:szCs w:val="22"/>
        </w:rPr>
        <w:t xml:space="preserve"> the audit engagement:</w:t>
      </w:r>
    </w:p>
    <w:p w14:paraId="16D0108B" w14:textId="6C8F10F5" w:rsidR="004256E1" w:rsidRDefault="00E74DF9" w:rsidP="000A7841">
      <w:pPr>
        <w:pStyle w:val="ListParagraph"/>
        <w:numPr>
          <w:ilvl w:val="5"/>
          <w:numId w:val="12"/>
        </w:numPr>
        <w:ind w:left="540"/>
        <w:jc w:val="both"/>
        <w:rPr>
          <w:sz w:val="22"/>
          <w:szCs w:val="22"/>
        </w:rPr>
      </w:pPr>
      <w:r w:rsidRPr="004256E1">
        <w:rPr>
          <w:b/>
          <w:bCs/>
          <w:sz w:val="22"/>
          <w:szCs w:val="22"/>
        </w:rPr>
        <w:t xml:space="preserve">Yearly </w:t>
      </w:r>
      <w:r w:rsidR="00B81B21" w:rsidRPr="004256E1">
        <w:rPr>
          <w:b/>
          <w:bCs/>
          <w:sz w:val="22"/>
          <w:szCs w:val="22"/>
        </w:rPr>
        <w:t xml:space="preserve">Audit Report </w:t>
      </w:r>
      <w:r w:rsidRPr="004256E1">
        <w:rPr>
          <w:b/>
          <w:bCs/>
          <w:sz w:val="22"/>
          <w:szCs w:val="22"/>
        </w:rPr>
        <w:t>for each project separately</w:t>
      </w:r>
      <w:r w:rsidRPr="004256E1">
        <w:rPr>
          <w:sz w:val="22"/>
          <w:szCs w:val="22"/>
        </w:rPr>
        <w:t xml:space="preserve"> </w:t>
      </w:r>
      <w:r w:rsidR="00B81B21" w:rsidRPr="004256E1">
        <w:rPr>
          <w:sz w:val="22"/>
          <w:szCs w:val="22"/>
        </w:rPr>
        <w:t>which</w:t>
      </w:r>
      <w:r w:rsidR="00B81B21" w:rsidRPr="004256E1">
        <w:rPr>
          <w:b/>
          <w:sz w:val="22"/>
          <w:szCs w:val="22"/>
        </w:rPr>
        <w:t xml:space="preserve"> </w:t>
      </w:r>
      <w:r w:rsidR="00B81B21" w:rsidRPr="004256E1">
        <w:rPr>
          <w:sz w:val="22"/>
          <w:szCs w:val="22"/>
        </w:rPr>
        <w:t>shall include</w:t>
      </w:r>
      <w:r w:rsidR="00B81B21" w:rsidRPr="004256E1">
        <w:rPr>
          <w:b/>
          <w:sz w:val="22"/>
          <w:szCs w:val="22"/>
        </w:rPr>
        <w:t xml:space="preserve"> </w:t>
      </w:r>
      <w:r w:rsidR="00B81B21" w:rsidRPr="004256E1">
        <w:rPr>
          <w:sz w:val="22"/>
          <w:szCs w:val="22"/>
        </w:rPr>
        <w:t xml:space="preserve">an explicit professional opinion </w:t>
      </w:r>
      <w:r w:rsidR="00EA4D9D" w:rsidRPr="004256E1">
        <w:rPr>
          <w:sz w:val="22"/>
          <w:szCs w:val="22"/>
        </w:rPr>
        <w:t xml:space="preserve">whether (i) the </w:t>
      </w:r>
      <w:r w:rsidR="001B1A67" w:rsidRPr="004256E1">
        <w:rPr>
          <w:sz w:val="22"/>
          <w:szCs w:val="22"/>
        </w:rPr>
        <w:t xml:space="preserve">General Purpose </w:t>
      </w:r>
      <w:r w:rsidR="00EA4D9D" w:rsidRPr="004256E1">
        <w:rPr>
          <w:sz w:val="22"/>
          <w:szCs w:val="22"/>
        </w:rPr>
        <w:t>Project Financial Statements (PFS) show true and fair view of the Project’s financial position as of 31/12/</w:t>
      </w:r>
      <w:r w:rsidR="004256E1" w:rsidRPr="004256E1">
        <w:rPr>
          <w:sz w:val="22"/>
          <w:szCs w:val="22"/>
        </w:rPr>
        <w:t>202</w:t>
      </w:r>
      <w:r w:rsidR="000A7841">
        <w:rPr>
          <w:sz w:val="22"/>
          <w:szCs w:val="22"/>
        </w:rPr>
        <w:t>4</w:t>
      </w:r>
      <w:r w:rsidR="004256E1" w:rsidRPr="004256E1">
        <w:rPr>
          <w:sz w:val="22"/>
          <w:szCs w:val="22"/>
        </w:rPr>
        <w:t xml:space="preserve"> </w:t>
      </w:r>
      <w:r w:rsidR="00EA4D9D" w:rsidRPr="004256E1">
        <w:rPr>
          <w:sz w:val="22"/>
          <w:szCs w:val="22"/>
        </w:rPr>
        <w:t xml:space="preserve">and sources and uses of funds incurred during the year then ending in accordance with International Public Sector Accounting Standards, under the cash basis of accounting. (ii) </w:t>
      </w:r>
      <w:r w:rsidR="00D628E6" w:rsidRPr="004256E1">
        <w:rPr>
          <w:sz w:val="22"/>
          <w:szCs w:val="22"/>
        </w:rPr>
        <w:t xml:space="preserve">all funds provided to the Project including replenishments, direct payments, payments through special commitments, and reimbursements i.e. expenditures reimbursed on the basis of Statements of Expenditures, are eligible , have been used, accounted for, and classified in accordance with the relevant Loan/ Grant Agreements as of </w:t>
      </w:r>
      <w:r w:rsidR="005E18F9" w:rsidRPr="004256E1">
        <w:rPr>
          <w:sz w:val="22"/>
          <w:szCs w:val="22"/>
        </w:rPr>
        <w:t xml:space="preserve">December 31, </w:t>
      </w:r>
      <w:r w:rsidR="00161FBB" w:rsidRPr="004256E1">
        <w:rPr>
          <w:sz w:val="22"/>
          <w:szCs w:val="22"/>
        </w:rPr>
        <w:t xml:space="preserve">for each year </w:t>
      </w:r>
      <w:r w:rsidR="00D628E6" w:rsidRPr="004256E1">
        <w:rPr>
          <w:sz w:val="22"/>
          <w:szCs w:val="22"/>
        </w:rPr>
        <w:t xml:space="preserve">(iii) internal control over financial reporting involved in the preparation of replenishments, direct payments, payments through special commitments, and reimbursements i.e. expenditures reimbursed on the basis of Statements of Expenditures can be relied upon to support the related withdrawals as of </w:t>
      </w:r>
      <w:r w:rsidR="005E18F9" w:rsidRPr="004256E1">
        <w:rPr>
          <w:sz w:val="22"/>
          <w:szCs w:val="22"/>
        </w:rPr>
        <w:t xml:space="preserve">December 31, </w:t>
      </w:r>
      <w:r w:rsidR="00161FBB" w:rsidRPr="004256E1">
        <w:rPr>
          <w:sz w:val="22"/>
          <w:szCs w:val="22"/>
        </w:rPr>
        <w:t xml:space="preserve">for each year </w:t>
      </w:r>
      <w:r w:rsidR="001D5E50" w:rsidRPr="004256E1">
        <w:rPr>
          <w:sz w:val="22"/>
          <w:szCs w:val="22"/>
        </w:rPr>
        <w:t>(iv)</w:t>
      </w:r>
      <w:r w:rsidR="00EA4D9D" w:rsidRPr="004256E1">
        <w:rPr>
          <w:sz w:val="22"/>
          <w:szCs w:val="22"/>
        </w:rPr>
        <w:t xml:space="preserve"> Replenishments and </w:t>
      </w:r>
      <w:r w:rsidR="00416949" w:rsidRPr="004256E1">
        <w:rPr>
          <w:sz w:val="22"/>
          <w:szCs w:val="22"/>
        </w:rPr>
        <w:t xml:space="preserve">disbursements </w:t>
      </w:r>
      <w:r w:rsidR="00EA4D9D" w:rsidRPr="004256E1">
        <w:rPr>
          <w:sz w:val="22"/>
          <w:szCs w:val="22"/>
        </w:rPr>
        <w:t xml:space="preserve"> made during the year ended </w:t>
      </w:r>
      <w:r w:rsidR="005E18F9" w:rsidRPr="004256E1">
        <w:rPr>
          <w:sz w:val="22"/>
          <w:szCs w:val="22"/>
        </w:rPr>
        <w:t xml:space="preserve">December 31, </w:t>
      </w:r>
      <w:r w:rsidR="00161FBB" w:rsidRPr="004256E1">
        <w:rPr>
          <w:sz w:val="22"/>
          <w:szCs w:val="22"/>
        </w:rPr>
        <w:t xml:space="preserve">for each year </w:t>
      </w:r>
      <w:r w:rsidR="00416949" w:rsidRPr="004256E1">
        <w:rPr>
          <w:sz w:val="22"/>
          <w:szCs w:val="22"/>
        </w:rPr>
        <w:t>under</w:t>
      </w:r>
      <w:r w:rsidR="005E5E5A" w:rsidRPr="004256E1">
        <w:rPr>
          <w:sz w:val="22"/>
          <w:szCs w:val="22"/>
        </w:rPr>
        <w:t xml:space="preserve"> the</w:t>
      </w:r>
      <w:r w:rsidR="00BC50AB" w:rsidRPr="004256E1">
        <w:rPr>
          <w:sz w:val="22"/>
          <w:szCs w:val="22"/>
        </w:rPr>
        <w:t xml:space="preserve"> Designated</w:t>
      </w:r>
      <w:r w:rsidR="00EA4D9D" w:rsidRPr="004256E1">
        <w:rPr>
          <w:sz w:val="22"/>
          <w:szCs w:val="22"/>
        </w:rPr>
        <w:t xml:space="preserve"> account has been used exclusively for payment of eligible expenditures and have been accounted for, and classified in accordance with the relevant </w:t>
      </w:r>
      <w:r w:rsidR="00C00BED" w:rsidRPr="004256E1">
        <w:rPr>
          <w:sz w:val="22"/>
          <w:szCs w:val="22"/>
        </w:rPr>
        <w:t>Loan /</w:t>
      </w:r>
      <w:r w:rsidR="00EA4D9D" w:rsidRPr="004256E1">
        <w:rPr>
          <w:sz w:val="22"/>
          <w:szCs w:val="22"/>
        </w:rPr>
        <w:t>Gra</w:t>
      </w:r>
      <w:r w:rsidR="00C00BED" w:rsidRPr="004256E1">
        <w:rPr>
          <w:sz w:val="22"/>
          <w:szCs w:val="22"/>
        </w:rPr>
        <w:t>nt</w:t>
      </w:r>
      <w:r w:rsidR="001141D5" w:rsidRPr="004256E1">
        <w:rPr>
          <w:sz w:val="22"/>
          <w:szCs w:val="22"/>
        </w:rPr>
        <w:t xml:space="preserve"> Agreement</w:t>
      </w:r>
      <w:r w:rsidR="00EA4D9D" w:rsidRPr="004256E1">
        <w:rPr>
          <w:sz w:val="22"/>
          <w:szCs w:val="22"/>
        </w:rPr>
        <w:t xml:space="preserve"> as of </w:t>
      </w:r>
      <w:r w:rsidR="005E18F9" w:rsidRPr="004256E1">
        <w:rPr>
          <w:sz w:val="22"/>
          <w:szCs w:val="22"/>
        </w:rPr>
        <w:t xml:space="preserve">December 31, </w:t>
      </w:r>
      <w:r w:rsidR="00161FBB" w:rsidRPr="004256E1">
        <w:rPr>
          <w:sz w:val="22"/>
          <w:szCs w:val="22"/>
        </w:rPr>
        <w:t>for each year</w:t>
      </w:r>
      <w:r w:rsidR="00D628E6" w:rsidRPr="004256E1">
        <w:rPr>
          <w:sz w:val="22"/>
          <w:szCs w:val="22"/>
        </w:rPr>
        <w:t>, (</w:t>
      </w:r>
      <w:r w:rsidR="00EA4D9D" w:rsidRPr="004256E1">
        <w:rPr>
          <w:sz w:val="22"/>
          <w:szCs w:val="22"/>
        </w:rPr>
        <w:t xml:space="preserve">v) The </w:t>
      </w:r>
      <w:r w:rsidR="005F1A17" w:rsidRPr="004256E1">
        <w:rPr>
          <w:sz w:val="22"/>
          <w:szCs w:val="22"/>
        </w:rPr>
        <w:t>project</w:t>
      </w:r>
      <w:r w:rsidR="00EA4D9D" w:rsidRPr="004256E1">
        <w:rPr>
          <w:sz w:val="22"/>
          <w:szCs w:val="22"/>
        </w:rPr>
        <w:t xml:space="preserve"> was in all material respects in compliance with the financial covenants of Schedule 2 section II, part B of the </w:t>
      </w:r>
      <w:r w:rsidR="00FB7EE1" w:rsidRPr="004256E1">
        <w:rPr>
          <w:sz w:val="22"/>
          <w:szCs w:val="22"/>
        </w:rPr>
        <w:t>Loan/</w:t>
      </w:r>
      <w:r w:rsidR="00EA4D9D" w:rsidRPr="004256E1">
        <w:rPr>
          <w:sz w:val="22"/>
          <w:szCs w:val="22"/>
        </w:rPr>
        <w:t>Grant agreement</w:t>
      </w:r>
      <w:r w:rsidR="00BC05EB" w:rsidRPr="004256E1">
        <w:rPr>
          <w:sz w:val="22"/>
          <w:szCs w:val="22"/>
        </w:rPr>
        <w:t>, World Bank disbursement Guidelines</w:t>
      </w:r>
      <w:r w:rsidR="005F1A17" w:rsidRPr="004256E1">
        <w:rPr>
          <w:sz w:val="22"/>
          <w:szCs w:val="22"/>
        </w:rPr>
        <w:t xml:space="preserve"> and with the</w:t>
      </w:r>
      <w:r w:rsidR="00EA4D9D" w:rsidRPr="004256E1">
        <w:rPr>
          <w:sz w:val="22"/>
          <w:szCs w:val="22"/>
        </w:rPr>
        <w:t xml:space="preserve"> World Bank Procurement Guidelines</w:t>
      </w:r>
      <w:r w:rsidR="00A72D5E" w:rsidRPr="004256E1">
        <w:rPr>
          <w:sz w:val="22"/>
          <w:szCs w:val="22"/>
        </w:rPr>
        <w:t xml:space="preserve"> r</w:t>
      </w:r>
      <w:r w:rsidR="00613DF5" w:rsidRPr="004256E1">
        <w:rPr>
          <w:sz w:val="22"/>
          <w:szCs w:val="22"/>
        </w:rPr>
        <w:t>evised October 1, 2006,</w:t>
      </w:r>
      <w:r w:rsidR="00A72D5E" w:rsidRPr="004256E1">
        <w:rPr>
          <w:sz w:val="22"/>
          <w:szCs w:val="22"/>
        </w:rPr>
        <w:t xml:space="preserve"> May 1, 2010</w:t>
      </w:r>
      <w:r w:rsidR="005E5E5A" w:rsidRPr="004256E1">
        <w:rPr>
          <w:sz w:val="22"/>
          <w:szCs w:val="22"/>
        </w:rPr>
        <w:t>, July 2014 and July 1, 2016 ( according to each’s financing terms).</w:t>
      </w:r>
      <w:r w:rsidR="00F0543F" w:rsidRPr="004256E1">
        <w:rPr>
          <w:sz w:val="22"/>
          <w:szCs w:val="22"/>
        </w:rPr>
        <w:t xml:space="preserve"> </w:t>
      </w:r>
      <w:r w:rsidR="00EA4D9D" w:rsidRPr="004256E1">
        <w:rPr>
          <w:sz w:val="22"/>
          <w:szCs w:val="22"/>
        </w:rPr>
        <w:t xml:space="preserve">The </w:t>
      </w:r>
      <w:r w:rsidR="004766FA" w:rsidRPr="004256E1">
        <w:rPr>
          <w:sz w:val="22"/>
          <w:szCs w:val="22"/>
        </w:rPr>
        <w:t>Auditor</w:t>
      </w:r>
      <w:r w:rsidR="00EA4D9D" w:rsidRPr="004256E1">
        <w:rPr>
          <w:sz w:val="22"/>
          <w:szCs w:val="22"/>
        </w:rPr>
        <w:t xml:space="preserve"> should take into account relevant statutory and other mandatory disclosures and accounting requirements stipulated in the </w:t>
      </w:r>
      <w:r w:rsidR="00C00BED" w:rsidRPr="004256E1">
        <w:rPr>
          <w:sz w:val="22"/>
          <w:szCs w:val="22"/>
        </w:rPr>
        <w:t>Loan/G</w:t>
      </w:r>
      <w:r w:rsidR="00EA4D9D" w:rsidRPr="004256E1">
        <w:rPr>
          <w:sz w:val="22"/>
          <w:szCs w:val="22"/>
        </w:rPr>
        <w:t xml:space="preserve">rant </w:t>
      </w:r>
      <w:r w:rsidR="00D56111" w:rsidRPr="004256E1">
        <w:rPr>
          <w:sz w:val="22"/>
          <w:szCs w:val="22"/>
        </w:rPr>
        <w:t xml:space="preserve">agreements </w:t>
      </w:r>
      <w:r w:rsidR="00EA4D9D" w:rsidRPr="004256E1">
        <w:rPr>
          <w:sz w:val="22"/>
          <w:szCs w:val="22"/>
        </w:rPr>
        <w:t>and express in the report any relevant exception and the impact of the exception on the PFS</w:t>
      </w:r>
      <w:r w:rsidR="001B1A67" w:rsidRPr="004256E1">
        <w:rPr>
          <w:sz w:val="22"/>
          <w:szCs w:val="22"/>
        </w:rPr>
        <w:t>.</w:t>
      </w:r>
    </w:p>
    <w:p w14:paraId="2A001FCF" w14:textId="77777777" w:rsidR="004256E1" w:rsidRPr="004256E1" w:rsidRDefault="004256E1" w:rsidP="004256E1">
      <w:pPr>
        <w:jc w:val="both"/>
        <w:rPr>
          <w:sz w:val="22"/>
          <w:szCs w:val="22"/>
        </w:rPr>
      </w:pPr>
    </w:p>
    <w:p w14:paraId="69C91C38" w14:textId="13AFA302" w:rsidR="00B81B21" w:rsidRDefault="00E74DF9" w:rsidP="004256E1">
      <w:pPr>
        <w:pStyle w:val="ListParagraph"/>
        <w:numPr>
          <w:ilvl w:val="5"/>
          <w:numId w:val="12"/>
        </w:numPr>
        <w:ind w:left="540"/>
        <w:jc w:val="both"/>
        <w:rPr>
          <w:sz w:val="22"/>
          <w:szCs w:val="22"/>
        </w:rPr>
      </w:pPr>
      <w:r w:rsidRPr="004256E1">
        <w:rPr>
          <w:sz w:val="22"/>
          <w:szCs w:val="22"/>
        </w:rPr>
        <w:t xml:space="preserve">A </w:t>
      </w:r>
      <w:r w:rsidRPr="004256E1">
        <w:rPr>
          <w:b/>
          <w:bCs/>
          <w:sz w:val="22"/>
          <w:szCs w:val="22"/>
        </w:rPr>
        <w:t xml:space="preserve">Yearly Combined </w:t>
      </w:r>
      <w:r w:rsidR="00B81B21" w:rsidRPr="004256E1">
        <w:rPr>
          <w:b/>
          <w:bCs/>
          <w:sz w:val="22"/>
          <w:szCs w:val="22"/>
        </w:rPr>
        <w:t xml:space="preserve">Management Letter </w:t>
      </w:r>
      <w:r w:rsidRPr="004256E1">
        <w:rPr>
          <w:b/>
          <w:bCs/>
          <w:sz w:val="22"/>
          <w:szCs w:val="22"/>
        </w:rPr>
        <w:t>for all projects</w:t>
      </w:r>
      <w:r w:rsidRPr="004256E1">
        <w:rPr>
          <w:sz w:val="22"/>
          <w:szCs w:val="22"/>
        </w:rPr>
        <w:t xml:space="preserve"> </w:t>
      </w:r>
      <w:r w:rsidR="00B81B21" w:rsidRPr="004256E1">
        <w:rPr>
          <w:sz w:val="22"/>
          <w:szCs w:val="22"/>
        </w:rPr>
        <w:t>which</w:t>
      </w:r>
      <w:r w:rsidR="00B81B21" w:rsidRPr="004256E1">
        <w:rPr>
          <w:b/>
          <w:sz w:val="22"/>
          <w:szCs w:val="22"/>
        </w:rPr>
        <w:t xml:space="preserve"> </w:t>
      </w:r>
      <w:r w:rsidR="00B81B21" w:rsidRPr="004256E1">
        <w:rPr>
          <w:sz w:val="22"/>
          <w:szCs w:val="22"/>
        </w:rPr>
        <w:t>should report any significant accounting and control issues arising from the audit</w:t>
      </w:r>
      <w:r w:rsidR="004766FA" w:rsidRPr="004256E1">
        <w:rPr>
          <w:sz w:val="22"/>
          <w:szCs w:val="22"/>
        </w:rPr>
        <w:t xml:space="preserve"> of </w:t>
      </w:r>
      <w:r w:rsidR="004766FA" w:rsidRPr="004256E1">
        <w:rPr>
          <w:b/>
          <w:bCs/>
          <w:sz w:val="22"/>
          <w:szCs w:val="22"/>
        </w:rPr>
        <w:t>each project</w:t>
      </w:r>
      <w:r w:rsidR="00B81B21" w:rsidRPr="004256E1">
        <w:rPr>
          <w:b/>
          <w:bCs/>
          <w:sz w:val="22"/>
          <w:szCs w:val="22"/>
        </w:rPr>
        <w:t>,</w:t>
      </w:r>
      <w:r w:rsidR="00B81B21" w:rsidRPr="004256E1">
        <w:rPr>
          <w:sz w:val="22"/>
          <w:szCs w:val="22"/>
        </w:rPr>
        <w:t xml:space="preserve"> as identified during the internal control mechanisms review together with the related risk. The letter, with management responses, and recommendation to address the situation and insufficiencies, should be made available to </w:t>
      </w:r>
      <w:r w:rsidR="00861D1F" w:rsidRPr="004256E1">
        <w:rPr>
          <w:sz w:val="22"/>
          <w:szCs w:val="22"/>
        </w:rPr>
        <w:t>the</w:t>
      </w:r>
      <w:r w:rsidR="00B81B21" w:rsidRPr="004256E1">
        <w:rPr>
          <w:sz w:val="22"/>
          <w:szCs w:val="22"/>
        </w:rPr>
        <w:t xml:space="preserve"> </w:t>
      </w:r>
      <w:r w:rsidR="00AA6890" w:rsidRPr="004256E1">
        <w:rPr>
          <w:sz w:val="22"/>
          <w:szCs w:val="22"/>
        </w:rPr>
        <w:t xml:space="preserve">Governing Body </w:t>
      </w:r>
      <w:r w:rsidR="00B81B21" w:rsidRPr="004256E1">
        <w:rPr>
          <w:sz w:val="22"/>
          <w:szCs w:val="22"/>
        </w:rPr>
        <w:t>in time. As annex of the Management Letter</w:t>
      </w:r>
      <w:r w:rsidR="004766FA" w:rsidRPr="004256E1">
        <w:rPr>
          <w:sz w:val="22"/>
          <w:szCs w:val="22"/>
        </w:rPr>
        <w:t>,</w:t>
      </w:r>
      <w:r w:rsidR="00B81B21" w:rsidRPr="004256E1">
        <w:rPr>
          <w:sz w:val="22"/>
          <w:szCs w:val="22"/>
        </w:rPr>
        <w:t xml:space="preserve"> the </w:t>
      </w:r>
      <w:r w:rsidR="004766FA" w:rsidRPr="004256E1">
        <w:rPr>
          <w:sz w:val="22"/>
          <w:szCs w:val="22"/>
        </w:rPr>
        <w:t>Auditor</w:t>
      </w:r>
      <w:r w:rsidR="00B81B21" w:rsidRPr="004256E1">
        <w:rPr>
          <w:sz w:val="22"/>
          <w:szCs w:val="22"/>
        </w:rPr>
        <w:t xml:space="preserve"> will mention whether or not recommendations issued on the previous Management Letter have been considered by the PMU.</w:t>
      </w:r>
    </w:p>
    <w:p w14:paraId="2B0DB6E1" w14:textId="77777777" w:rsidR="004256E1" w:rsidRPr="004256E1" w:rsidRDefault="004256E1" w:rsidP="004256E1">
      <w:pPr>
        <w:pStyle w:val="ListParagraph"/>
        <w:rPr>
          <w:sz w:val="22"/>
          <w:szCs w:val="22"/>
        </w:rPr>
      </w:pPr>
    </w:p>
    <w:p w14:paraId="540D2E0F" w14:textId="3D242095" w:rsidR="004256E1" w:rsidRPr="004256E1" w:rsidRDefault="004256E1" w:rsidP="000A7841">
      <w:pPr>
        <w:jc w:val="both"/>
        <w:rPr>
          <w:sz w:val="22"/>
          <w:szCs w:val="22"/>
        </w:rPr>
      </w:pPr>
      <w:r>
        <w:rPr>
          <w:sz w:val="22"/>
          <w:szCs w:val="22"/>
        </w:rPr>
        <w:t>The Audit R</w:t>
      </w:r>
      <w:r w:rsidRPr="004256E1">
        <w:rPr>
          <w:sz w:val="22"/>
          <w:szCs w:val="22"/>
        </w:rPr>
        <w:t xml:space="preserve">eport and </w:t>
      </w:r>
      <w:r>
        <w:rPr>
          <w:sz w:val="22"/>
          <w:szCs w:val="22"/>
        </w:rPr>
        <w:t>M</w:t>
      </w:r>
      <w:r w:rsidRPr="004256E1">
        <w:rPr>
          <w:sz w:val="22"/>
          <w:szCs w:val="22"/>
        </w:rPr>
        <w:t xml:space="preserve">anagement </w:t>
      </w:r>
      <w:r>
        <w:rPr>
          <w:sz w:val="22"/>
          <w:szCs w:val="22"/>
        </w:rPr>
        <w:t>Letter</w:t>
      </w:r>
      <w:r w:rsidRPr="004256E1">
        <w:rPr>
          <w:sz w:val="22"/>
          <w:szCs w:val="22"/>
        </w:rPr>
        <w:t xml:space="preserve"> to be submitted no later than 6 months (June 30) after the end of each fiscal year under audit</w:t>
      </w:r>
      <w:r w:rsidR="001E5847">
        <w:rPr>
          <w:sz w:val="22"/>
          <w:szCs w:val="22"/>
        </w:rPr>
        <w:t xml:space="preserve"> (202</w:t>
      </w:r>
      <w:r w:rsidR="000A7841">
        <w:rPr>
          <w:sz w:val="22"/>
          <w:szCs w:val="22"/>
        </w:rPr>
        <w:t>4</w:t>
      </w:r>
      <w:r w:rsidR="001E5847">
        <w:rPr>
          <w:sz w:val="22"/>
          <w:szCs w:val="22"/>
        </w:rPr>
        <w:t>)</w:t>
      </w:r>
      <w:r>
        <w:rPr>
          <w:sz w:val="22"/>
          <w:szCs w:val="22"/>
        </w:rPr>
        <w:t>.</w:t>
      </w:r>
    </w:p>
    <w:p w14:paraId="634C7439" w14:textId="77777777" w:rsidR="001B1A67" w:rsidRPr="00F0543F" w:rsidRDefault="001B1A67" w:rsidP="00B81B21">
      <w:pPr>
        <w:jc w:val="both"/>
        <w:rPr>
          <w:b/>
          <w:sz w:val="22"/>
          <w:szCs w:val="22"/>
        </w:rPr>
      </w:pPr>
    </w:p>
    <w:p w14:paraId="07138D6C" w14:textId="77777777" w:rsidR="00B81B21" w:rsidRPr="00F0543F" w:rsidRDefault="00B81B21" w:rsidP="00B81B21">
      <w:pPr>
        <w:jc w:val="both"/>
        <w:rPr>
          <w:b/>
          <w:sz w:val="22"/>
          <w:szCs w:val="22"/>
        </w:rPr>
      </w:pPr>
      <w:r w:rsidRPr="00F0543F">
        <w:rPr>
          <w:b/>
          <w:sz w:val="22"/>
          <w:szCs w:val="22"/>
        </w:rPr>
        <w:t>General Principles for Audit</w:t>
      </w:r>
    </w:p>
    <w:p w14:paraId="14250C21" w14:textId="77777777" w:rsidR="00B81B21" w:rsidRPr="00F0543F" w:rsidRDefault="00B81B21" w:rsidP="00B81B21">
      <w:pPr>
        <w:pStyle w:val="Outline"/>
        <w:spacing w:before="0"/>
        <w:jc w:val="both"/>
        <w:rPr>
          <w:kern w:val="0"/>
          <w:sz w:val="22"/>
          <w:szCs w:val="22"/>
        </w:rPr>
      </w:pPr>
    </w:p>
    <w:p w14:paraId="6C4F01B0" w14:textId="77777777" w:rsidR="00B81B21" w:rsidRPr="00F0543F" w:rsidRDefault="00B81B21" w:rsidP="004766FA">
      <w:pPr>
        <w:pStyle w:val="Heading5"/>
        <w:numPr>
          <w:ilvl w:val="0"/>
          <w:numId w:val="17"/>
        </w:numPr>
        <w:tabs>
          <w:tab w:val="left" w:pos="0"/>
        </w:tabs>
        <w:jc w:val="both"/>
        <w:rPr>
          <w:sz w:val="22"/>
          <w:szCs w:val="22"/>
        </w:rPr>
      </w:pPr>
      <w:r w:rsidRPr="00F0543F">
        <w:rPr>
          <w:sz w:val="22"/>
          <w:szCs w:val="22"/>
        </w:rPr>
        <w:t xml:space="preserve">The </w:t>
      </w:r>
      <w:r w:rsidR="004766FA" w:rsidRPr="00F0543F">
        <w:rPr>
          <w:sz w:val="22"/>
          <w:szCs w:val="22"/>
        </w:rPr>
        <w:t>Auditor</w:t>
      </w:r>
      <w:r w:rsidRPr="00F0543F">
        <w:rPr>
          <w:sz w:val="22"/>
          <w:szCs w:val="22"/>
        </w:rPr>
        <w:t xml:space="preserve"> should be registered as certified public accountant with the appropriate professional body in the country and have substantial experience in auditing major projects in the country.  In case of government auditing, the audit team should be adequately staffed with qualified </w:t>
      </w:r>
      <w:r w:rsidR="004766FA" w:rsidRPr="00F0543F">
        <w:rPr>
          <w:sz w:val="22"/>
          <w:szCs w:val="22"/>
        </w:rPr>
        <w:t>Auditor</w:t>
      </w:r>
      <w:r w:rsidRPr="00F0543F">
        <w:rPr>
          <w:sz w:val="22"/>
          <w:szCs w:val="22"/>
        </w:rPr>
        <w:t xml:space="preserve">s having relevant background and experience in auditing.  </w:t>
      </w:r>
      <w:r w:rsidR="00F469AE" w:rsidRPr="00F0543F">
        <w:rPr>
          <w:sz w:val="22"/>
          <w:szCs w:val="22"/>
        </w:rPr>
        <w:t xml:space="preserve">Training and continued education should emphasize auditing standards, work paper techniques and audit documentation to ensure engagements comply with professional standards. </w:t>
      </w:r>
      <w:r w:rsidRPr="00F0543F">
        <w:rPr>
          <w:sz w:val="22"/>
          <w:szCs w:val="22"/>
        </w:rPr>
        <w:t xml:space="preserve">The same audit principles should be applied if the audit is conducted by private or government </w:t>
      </w:r>
      <w:r w:rsidR="004766FA" w:rsidRPr="00F0543F">
        <w:rPr>
          <w:sz w:val="22"/>
          <w:szCs w:val="22"/>
        </w:rPr>
        <w:t>Auditor</w:t>
      </w:r>
      <w:r w:rsidRPr="00F0543F">
        <w:rPr>
          <w:sz w:val="22"/>
          <w:szCs w:val="22"/>
        </w:rPr>
        <w:t xml:space="preserve">s. </w:t>
      </w:r>
      <w:r w:rsidR="00DB77EB" w:rsidRPr="00F0543F">
        <w:rPr>
          <w:sz w:val="22"/>
          <w:szCs w:val="22"/>
        </w:rPr>
        <w:t xml:space="preserve">The </w:t>
      </w:r>
      <w:r w:rsidR="004766FA" w:rsidRPr="00F0543F">
        <w:rPr>
          <w:sz w:val="22"/>
          <w:szCs w:val="22"/>
        </w:rPr>
        <w:t>Auditor</w:t>
      </w:r>
      <w:r w:rsidR="00DB77EB" w:rsidRPr="00F0543F">
        <w:rPr>
          <w:sz w:val="22"/>
          <w:szCs w:val="22"/>
        </w:rPr>
        <w:t xml:space="preserve"> shall ensure that its </w:t>
      </w:r>
      <w:r w:rsidR="004766FA" w:rsidRPr="00F0543F">
        <w:rPr>
          <w:sz w:val="22"/>
          <w:szCs w:val="22"/>
        </w:rPr>
        <w:t xml:space="preserve">audit firm’s </w:t>
      </w:r>
      <w:r w:rsidR="00DB77EB" w:rsidRPr="00F0543F">
        <w:rPr>
          <w:sz w:val="22"/>
          <w:szCs w:val="22"/>
        </w:rPr>
        <w:t xml:space="preserve">system of quality control provides reasonable assurance that the work performed on an audit engagement meets the applicable professional standards and regulatory requirements. </w:t>
      </w:r>
      <w:r w:rsidRPr="00F0543F">
        <w:rPr>
          <w:sz w:val="22"/>
          <w:szCs w:val="22"/>
        </w:rPr>
        <w:t xml:space="preserve"> </w:t>
      </w:r>
    </w:p>
    <w:p w14:paraId="698DCC0D" w14:textId="77777777" w:rsidR="00B81B21" w:rsidRPr="00F0543F" w:rsidRDefault="00B81B21" w:rsidP="0099250D">
      <w:pPr>
        <w:pStyle w:val="H3"/>
        <w:spacing w:before="480"/>
        <w:ind w:right="357"/>
        <w:jc w:val="both"/>
        <w:rPr>
          <w:sz w:val="22"/>
          <w:szCs w:val="22"/>
        </w:rPr>
      </w:pPr>
      <w:r w:rsidRPr="00F0543F">
        <w:rPr>
          <w:sz w:val="22"/>
          <w:szCs w:val="22"/>
        </w:rPr>
        <w:t>Irregularities Including Fraud</w:t>
      </w:r>
    </w:p>
    <w:p w14:paraId="7FDA0B66" w14:textId="77777777" w:rsidR="00B81B21" w:rsidRPr="00F0543F" w:rsidRDefault="00B81B21" w:rsidP="00B81B21">
      <w:pPr>
        <w:jc w:val="both"/>
        <w:rPr>
          <w:sz w:val="22"/>
          <w:szCs w:val="22"/>
        </w:rPr>
      </w:pPr>
    </w:p>
    <w:p w14:paraId="6AF451D8" w14:textId="77777777" w:rsidR="00B81B21" w:rsidRPr="00F0543F" w:rsidRDefault="00B81B21" w:rsidP="004766FA">
      <w:pPr>
        <w:pStyle w:val="Heading5"/>
        <w:numPr>
          <w:ilvl w:val="0"/>
          <w:numId w:val="17"/>
        </w:numPr>
        <w:tabs>
          <w:tab w:val="left" w:pos="0"/>
        </w:tabs>
        <w:jc w:val="both"/>
        <w:rPr>
          <w:sz w:val="22"/>
          <w:szCs w:val="22"/>
        </w:rPr>
      </w:pPr>
      <w:r w:rsidRPr="00F0543F">
        <w:rPr>
          <w:sz w:val="22"/>
          <w:szCs w:val="22"/>
        </w:rPr>
        <w:t xml:space="preserve">The </w:t>
      </w:r>
      <w:r w:rsidR="00AA6890" w:rsidRPr="00F0543F">
        <w:rPr>
          <w:sz w:val="22"/>
          <w:szCs w:val="22"/>
        </w:rPr>
        <w:t xml:space="preserve">Governing Body </w:t>
      </w:r>
      <w:r w:rsidRPr="00F0543F">
        <w:rPr>
          <w:sz w:val="22"/>
          <w:szCs w:val="22"/>
        </w:rPr>
        <w:t xml:space="preserve">is responsible for ensuring the establishment and maintenance of an adequate system of internal control.  It is also responsible for ensuring compliance with statutory and other regulations, and for the prevention and detection of irregularities, including fraud.  Although, the </w:t>
      </w:r>
      <w:r w:rsidR="004766FA" w:rsidRPr="00F0543F">
        <w:rPr>
          <w:sz w:val="22"/>
          <w:szCs w:val="22"/>
        </w:rPr>
        <w:t>Auditor</w:t>
      </w:r>
      <w:r w:rsidRPr="00F0543F">
        <w:rPr>
          <w:sz w:val="22"/>
          <w:szCs w:val="22"/>
        </w:rPr>
        <w:t xml:space="preserve"> </w:t>
      </w:r>
      <w:r w:rsidR="004766FA" w:rsidRPr="00F0543F">
        <w:rPr>
          <w:sz w:val="22"/>
          <w:szCs w:val="22"/>
        </w:rPr>
        <w:t>is</w:t>
      </w:r>
      <w:r w:rsidRPr="00F0543F">
        <w:rPr>
          <w:sz w:val="22"/>
          <w:szCs w:val="22"/>
        </w:rPr>
        <w:t xml:space="preserve"> not required to search specifically for such matters, the audit shall be planned and conducted so that the </w:t>
      </w:r>
      <w:r w:rsidR="004766FA" w:rsidRPr="00F0543F">
        <w:rPr>
          <w:sz w:val="22"/>
          <w:szCs w:val="22"/>
        </w:rPr>
        <w:t>Auditor</w:t>
      </w:r>
      <w:r w:rsidRPr="00F0543F">
        <w:rPr>
          <w:sz w:val="22"/>
          <w:szCs w:val="22"/>
        </w:rPr>
        <w:t xml:space="preserve"> have a reasonable expectation of detecting material misstatements in the accounts resulting from irregularities, fraud, or breach of regulations. </w:t>
      </w:r>
    </w:p>
    <w:p w14:paraId="39F4CD2C" w14:textId="77777777" w:rsidR="00B81B21" w:rsidRPr="00F0543F" w:rsidRDefault="00B81B21" w:rsidP="0030059F">
      <w:pPr>
        <w:pStyle w:val="Heading5"/>
        <w:numPr>
          <w:ilvl w:val="0"/>
          <w:numId w:val="17"/>
        </w:numPr>
        <w:tabs>
          <w:tab w:val="left" w:pos="0"/>
        </w:tabs>
        <w:jc w:val="both"/>
        <w:rPr>
          <w:sz w:val="22"/>
          <w:szCs w:val="22"/>
        </w:rPr>
      </w:pPr>
      <w:r w:rsidRPr="00F0543F">
        <w:rPr>
          <w:sz w:val="22"/>
          <w:szCs w:val="22"/>
        </w:rPr>
        <w:t xml:space="preserve">The </w:t>
      </w:r>
      <w:r w:rsidR="004766FA" w:rsidRPr="00F0543F">
        <w:rPr>
          <w:sz w:val="22"/>
          <w:szCs w:val="22"/>
        </w:rPr>
        <w:t>Auditor</w:t>
      </w:r>
      <w:r w:rsidRPr="00F0543F">
        <w:rPr>
          <w:sz w:val="22"/>
          <w:szCs w:val="22"/>
        </w:rPr>
        <w:t xml:space="preserve"> will report in writing any serious weaknesses, fraud, irregularities or accounting break-downs that they come across in the normal course of their duties to the designated office holder, </w:t>
      </w:r>
      <w:r w:rsidR="00AA6890" w:rsidRPr="00F0543F">
        <w:rPr>
          <w:sz w:val="22"/>
          <w:szCs w:val="22"/>
        </w:rPr>
        <w:t>Governing Body</w:t>
      </w:r>
      <w:r w:rsidRPr="00F0543F">
        <w:rPr>
          <w:sz w:val="22"/>
          <w:szCs w:val="22"/>
        </w:rPr>
        <w:t>, and the World Bank without delay.</w:t>
      </w:r>
    </w:p>
    <w:p w14:paraId="7F6FD4A4" w14:textId="77777777" w:rsidR="00B81B21" w:rsidRPr="00F0543F" w:rsidRDefault="00B81B21" w:rsidP="002770A1">
      <w:pPr>
        <w:pStyle w:val="H3"/>
        <w:spacing w:before="480"/>
        <w:ind w:right="357"/>
        <w:jc w:val="both"/>
        <w:rPr>
          <w:sz w:val="22"/>
          <w:szCs w:val="22"/>
        </w:rPr>
      </w:pPr>
      <w:r w:rsidRPr="00F0543F">
        <w:rPr>
          <w:sz w:val="22"/>
          <w:szCs w:val="22"/>
        </w:rPr>
        <w:t xml:space="preserve">Access </w:t>
      </w:r>
    </w:p>
    <w:p w14:paraId="003D989C" w14:textId="77777777" w:rsidR="00B81B21" w:rsidRPr="00F0543F" w:rsidRDefault="00B81B21" w:rsidP="0030059F">
      <w:pPr>
        <w:pStyle w:val="Heading5"/>
        <w:numPr>
          <w:ilvl w:val="0"/>
          <w:numId w:val="17"/>
        </w:numPr>
        <w:tabs>
          <w:tab w:val="left" w:pos="0"/>
        </w:tabs>
        <w:jc w:val="both"/>
        <w:rPr>
          <w:sz w:val="22"/>
          <w:szCs w:val="22"/>
        </w:rPr>
      </w:pPr>
      <w:r w:rsidRPr="00F0543F">
        <w:rPr>
          <w:sz w:val="22"/>
          <w:szCs w:val="22"/>
        </w:rPr>
        <w:t xml:space="preserve">The </w:t>
      </w:r>
      <w:r w:rsidR="004766FA" w:rsidRPr="00F0543F">
        <w:rPr>
          <w:sz w:val="22"/>
          <w:szCs w:val="22"/>
        </w:rPr>
        <w:t>Auditor</w:t>
      </w:r>
      <w:r w:rsidRPr="00F0543F">
        <w:rPr>
          <w:sz w:val="22"/>
          <w:szCs w:val="22"/>
        </w:rPr>
        <w:t xml:space="preserve"> shall have rights of access to the books, accounts, vouchers, </w:t>
      </w:r>
      <w:r w:rsidR="003C714C" w:rsidRPr="00F0543F">
        <w:rPr>
          <w:sz w:val="22"/>
          <w:szCs w:val="22"/>
        </w:rPr>
        <w:t>Loan/Grant</w:t>
      </w:r>
      <w:r w:rsidRPr="00F0543F">
        <w:rPr>
          <w:sz w:val="22"/>
          <w:szCs w:val="22"/>
        </w:rPr>
        <w:t xml:space="preserve"> Agreement</w:t>
      </w:r>
      <w:r w:rsidR="003C714C" w:rsidRPr="00F0543F">
        <w:rPr>
          <w:sz w:val="22"/>
          <w:szCs w:val="22"/>
        </w:rPr>
        <w:t>s</w:t>
      </w:r>
      <w:r w:rsidRPr="00F0543F">
        <w:rPr>
          <w:sz w:val="22"/>
          <w:szCs w:val="22"/>
        </w:rPr>
        <w:t xml:space="preserve">, related Supplemental Letters, Project Appraisal Document, correspondence, and all other documents in relation of the Project and to such information and explanations as </w:t>
      </w:r>
      <w:r w:rsidR="004766FA" w:rsidRPr="00F0543F">
        <w:rPr>
          <w:sz w:val="22"/>
          <w:szCs w:val="22"/>
        </w:rPr>
        <w:t>Auditor</w:t>
      </w:r>
      <w:r w:rsidRPr="00F0543F">
        <w:rPr>
          <w:sz w:val="22"/>
          <w:szCs w:val="22"/>
        </w:rPr>
        <w:t xml:space="preserve">s consider necessary to perform their duties and fulfill their responsibilities. </w:t>
      </w:r>
    </w:p>
    <w:p w14:paraId="5614440E" w14:textId="77777777" w:rsidR="003C714C" w:rsidRPr="00F0543F" w:rsidRDefault="00B81B21" w:rsidP="0030059F">
      <w:pPr>
        <w:pStyle w:val="Heading5"/>
        <w:numPr>
          <w:ilvl w:val="0"/>
          <w:numId w:val="17"/>
        </w:numPr>
        <w:tabs>
          <w:tab w:val="left" w:pos="0"/>
        </w:tabs>
        <w:jc w:val="both"/>
        <w:rPr>
          <w:sz w:val="22"/>
          <w:szCs w:val="22"/>
        </w:rPr>
      </w:pPr>
      <w:r w:rsidRPr="00F0543F">
        <w:rPr>
          <w:sz w:val="22"/>
          <w:szCs w:val="22"/>
        </w:rPr>
        <w:t xml:space="preserve">In addition, the </w:t>
      </w:r>
      <w:r w:rsidR="004766FA" w:rsidRPr="00F0543F">
        <w:rPr>
          <w:sz w:val="22"/>
          <w:szCs w:val="22"/>
        </w:rPr>
        <w:t>Auditor</w:t>
      </w:r>
      <w:r w:rsidRPr="00F0543F">
        <w:rPr>
          <w:sz w:val="22"/>
          <w:szCs w:val="22"/>
        </w:rPr>
        <w:t xml:space="preserve">s will be provided with copies of the World Bank relevant publications that the </w:t>
      </w:r>
      <w:r w:rsidR="00AA6890" w:rsidRPr="00F0543F">
        <w:rPr>
          <w:sz w:val="22"/>
          <w:szCs w:val="22"/>
        </w:rPr>
        <w:t xml:space="preserve">Governing Body </w:t>
      </w:r>
      <w:r w:rsidRPr="00F0543F">
        <w:rPr>
          <w:sz w:val="22"/>
          <w:szCs w:val="22"/>
        </w:rPr>
        <w:t>has to recognize including</w:t>
      </w:r>
      <w:proofErr w:type="gramStart"/>
      <w:r w:rsidRPr="00F0543F">
        <w:rPr>
          <w:sz w:val="22"/>
          <w:szCs w:val="22"/>
        </w:rPr>
        <w:t xml:space="preserve">: </w:t>
      </w:r>
      <w:r w:rsidRPr="00F0543F">
        <w:rPr>
          <w:sz w:val="22"/>
          <w:szCs w:val="22"/>
          <w:rtl/>
          <w:lang w:bidi="ar-JO"/>
        </w:rPr>
        <w:t>)</w:t>
      </w:r>
      <w:r w:rsidRPr="00F0543F">
        <w:rPr>
          <w:sz w:val="22"/>
          <w:szCs w:val="22"/>
          <w:lang w:bidi="ar-JO"/>
        </w:rPr>
        <w:t>i</w:t>
      </w:r>
      <w:proofErr w:type="gramEnd"/>
      <w:r w:rsidRPr="00F0543F">
        <w:rPr>
          <w:sz w:val="22"/>
          <w:szCs w:val="22"/>
        </w:rPr>
        <w:t xml:space="preserve">) </w:t>
      </w:r>
      <w:r w:rsidRPr="00F0543F">
        <w:rPr>
          <w:sz w:val="22"/>
          <w:szCs w:val="22"/>
          <w:lang w:bidi="ar-JO"/>
        </w:rPr>
        <w:t xml:space="preserve">Financial Monitoring Reports for </w:t>
      </w:r>
      <w:r w:rsidRPr="00F0543F">
        <w:rPr>
          <w:sz w:val="22"/>
          <w:szCs w:val="22"/>
        </w:rPr>
        <w:t>the World Bank –</w:t>
      </w:r>
      <w:r w:rsidRPr="00F0543F">
        <w:rPr>
          <w:i/>
          <w:sz w:val="22"/>
          <w:szCs w:val="22"/>
        </w:rPr>
        <w:t xml:space="preserve">Financed project : Guidelines For Borrowers </w:t>
      </w:r>
      <w:r w:rsidRPr="00F0543F">
        <w:rPr>
          <w:sz w:val="22"/>
          <w:szCs w:val="22"/>
        </w:rPr>
        <w:t>(ii) the World Bank “</w:t>
      </w:r>
      <w:r w:rsidRPr="00F0543F">
        <w:rPr>
          <w:i/>
          <w:sz w:val="22"/>
          <w:szCs w:val="22"/>
        </w:rPr>
        <w:t>Procurement Guidelines</w:t>
      </w:r>
      <w:r w:rsidRPr="00F0543F">
        <w:rPr>
          <w:sz w:val="22"/>
          <w:szCs w:val="22"/>
        </w:rPr>
        <w:t xml:space="preserve">” </w:t>
      </w:r>
      <w:r w:rsidR="003C714C" w:rsidRPr="00F0543F">
        <w:rPr>
          <w:sz w:val="22"/>
          <w:szCs w:val="22"/>
        </w:rPr>
        <w:t>(ii</w:t>
      </w:r>
      <w:r w:rsidR="00147821" w:rsidRPr="00F0543F">
        <w:rPr>
          <w:sz w:val="22"/>
          <w:szCs w:val="22"/>
        </w:rPr>
        <w:t>i</w:t>
      </w:r>
      <w:r w:rsidR="003C714C" w:rsidRPr="00F0543F">
        <w:rPr>
          <w:sz w:val="22"/>
          <w:szCs w:val="22"/>
        </w:rPr>
        <w:t>) the World Bank “</w:t>
      </w:r>
      <w:r w:rsidR="003C714C" w:rsidRPr="00F0543F">
        <w:rPr>
          <w:i/>
          <w:sz w:val="22"/>
          <w:szCs w:val="22"/>
        </w:rPr>
        <w:t>Disbursement Guidelines</w:t>
      </w:r>
      <w:r w:rsidR="003C714C" w:rsidRPr="00F0543F">
        <w:rPr>
          <w:sz w:val="22"/>
          <w:szCs w:val="22"/>
        </w:rPr>
        <w:t xml:space="preserve">” </w:t>
      </w:r>
    </w:p>
    <w:p w14:paraId="6283AD72" w14:textId="77777777" w:rsidR="00B81B21" w:rsidRPr="00F0543F" w:rsidRDefault="00B81B21" w:rsidP="0030059F">
      <w:pPr>
        <w:pStyle w:val="Heading5"/>
        <w:numPr>
          <w:ilvl w:val="0"/>
          <w:numId w:val="17"/>
        </w:numPr>
        <w:tabs>
          <w:tab w:val="left" w:pos="0"/>
        </w:tabs>
        <w:jc w:val="both"/>
        <w:rPr>
          <w:sz w:val="22"/>
          <w:szCs w:val="22"/>
        </w:rPr>
      </w:pPr>
      <w:r w:rsidRPr="00F0543F">
        <w:rPr>
          <w:sz w:val="22"/>
          <w:szCs w:val="22"/>
        </w:rPr>
        <w:t xml:space="preserve">In turn, on occasions the World Bank representatives may wish to meet with Projects' </w:t>
      </w:r>
      <w:r w:rsidR="004766FA" w:rsidRPr="00F0543F">
        <w:rPr>
          <w:sz w:val="22"/>
          <w:szCs w:val="22"/>
        </w:rPr>
        <w:t>Auditor</w:t>
      </w:r>
      <w:r w:rsidRPr="00F0543F">
        <w:rPr>
          <w:sz w:val="22"/>
          <w:szCs w:val="22"/>
        </w:rPr>
        <w:t xml:space="preserve">s, in connection with a visit to the </w:t>
      </w:r>
      <w:r w:rsidR="004766FA" w:rsidRPr="00F0543F">
        <w:rPr>
          <w:sz w:val="22"/>
          <w:szCs w:val="22"/>
        </w:rPr>
        <w:t>Auditor</w:t>
      </w:r>
      <w:r w:rsidRPr="00F0543F">
        <w:rPr>
          <w:sz w:val="22"/>
          <w:szCs w:val="22"/>
        </w:rPr>
        <w:t xml:space="preserve">’s office, review of the audit working papers files and discussion of the work performed and conclusion reached by the </w:t>
      </w:r>
      <w:r w:rsidR="004766FA" w:rsidRPr="00F0543F">
        <w:rPr>
          <w:sz w:val="22"/>
          <w:szCs w:val="22"/>
        </w:rPr>
        <w:t>Auditor</w:t>
      </w:r>
      <w:r w:rsidRPr="00F0543F">
        <w:rPr>
          <w:sz w:val="22"/>
          <w:szCs w:val="22"/>
        </w:rPr>
        <w:t xml:space="preserve">s. The </w:t>
      </w:r>
      <w:r w:rsidR="004766FA" w:rsidRPr="00F0543F">
        <w:rPr>
          <w:sz w:val="22"/>
          <w:szCs w:val="22"/>
        </w:rPr>
        <w:t>Auditor</w:t>
      </w:r>
      <w:r w:rsidRPr="00F0543F">
        <w:rPr>
          <w:sz w:val="22"/>
          <w:szCs w:val="22"/>
        </w:rPr>
        <w:t xml:space="preserve"> should not limit access in any way and must reply to all inquiries raised by the World Bank representative.  Failure to comply with this provision may disqualify the </w:t>
      </w:r>
      <w:r w:rsidR="004766FA" w:rsidRPr="00F0543F">
        <w:rPr>
          <w:sz w:val="22"/>
          <w:szCs w:val="22"/>
        </w:rPr>
        <w:t>Auditor</w:t>
      </w:r>
      <w:r w:rsidRPr="00F0543F">
        <w:rPr>
          <w:sz w:val="22"/>
          <w:szCs w:val="22"/>
        </w:rPr>
        <w:t xml:space="preserve">s from dealing with the all projects funded or administered by the World Bank.  Formal discussion should normally be arranged through the Project's designated office holder or representative.  The World Bank will have this exclusive right during performance of the audit and within two years after </w:t>
      </w:r>
      <w:r w:rsidR="00C66938" w:rsidRPr="00F0543F">
        <w:rPr>
          <w:sz w:val="22"/>
          <w:szCs w:val="22"/>
        </w:rPr>
        <w:t xml:space="preserve">the </w:t>
      </w:r>
      <w:r w:rsidRPr="00F0543F">
        <w:rPr>
          <w:sz w:val="22"/>
          <w:szCs w:val="22"/>
        </w:rPr>
        <w:t>completion of the audit engagement.</w:t>
      </w:r>
    </w:p>
    <w:p w14:paraId="70A1C6E7" w14:textId="77777777" w:rsidR="00B81B21" w:rsidRPr="00F0543F" w:rsidRDefault="00B81B21" w:rsidP="0099250D">
      <w:pPr>
        <w:pStyle w:val="Heading5"/>
        <w:keepNext/>
        <w:tabs>
          <w:tab w:val="left" w:pos="0"/>
          <w:tab w:val="num" w:pos="720"/>
        </w:tabs>
        <w:snapToGrid w:val="0"/>
        <w:spacing w:before="480" w:after="100"/>
        <w:ind w:right="357"/>
        <w:jc w:val="both"/>
        <w:rPr>
          <w:b/>
          <w:sz w:val="22"/>
          <w:szCs w:val="22"/>
        </w:rPr>
      </w:pPr>
      <w:r w:rsidRPr="00F0543F">
        <w:rPr>
          <w:b/>
          <w:sz w:val="22"/>
          <w:szCs w:val="22"/>
        </w:rPr>
        <w:t>Miscellaneous</w:t>
      </w:r>
    </w:p>
    <w:p w14:paraId="0958799E" w14:textId="77777777" w:rsidR="00B81B21" w:rsidRPr="00F0543F" w:rsidRDefault="00B81B21" w:rsidP="005416D2">
      <w:pPr>
        <w:pStyle w:val="Heading5"/>
        <w:numPr>
          <w:ilvl w:val="0"/>
          <w:numId w:val="17"/>
        </w:numPr>
        <w:tabs>
          <w:tab w:val="left" w:pos="0"/>
        </w:tabs>
        <w:ind w:left="357" w:hanging="357"/>
        <w:jc w:val="both"/>
        <w:rPr>
          <w:sz w:val="22"/>
          <w:szCs w:val="22"/>
        </w:rPr>
      </w:pPr>
      <w:r w:rsidRPr="00F0543F">
        <w:rPr>
          <w:b/>
          <w:sz w:val="22"/>
          <w:szCs w:val="22"/>
        </w:rPr>
        <w:t>Annual Meetings</w:t>
      </w:r>
      <w:r w:rsidRPr="00F0543F">
        <w:rPr>
          <w:sz w:val="22"/>
          <w:szCs w:val="22"/>
        </w:rPr>
        <w:t xml:space="preserve">.  The </w:t>
      </w:r>
      <w:r w:rsidR="004766FA" w:rsidRPr="00F0543F">
        <w:rPr>
          <w:sz w:val="22"/>
          <w:szCs w:val="22"/>
        </w:rPr>
        <w:t>Auditor</w:t>
      </w:r>
      <w:r w:rsidRPr="00F0543F">
        <w:rPr>
          <w:sz w:val="22"/>
          <w:szCs w:val="22"/>
        </w:rPr>
        <w:t xml:space="preserve"> will be requested to attend the meeting of the </w:t>
      </w:r>
      <w:r w:rsidR="00AA6890" w:rsidRPr="00F0543F">
        <w:rPr>
          <w:sz w:val="22"/>
          <w:szCs w:val="22"/>
        </w:rPr>
        <w:t>Governing Body</w:t>
      </w:r>
      <w:r w:rsidRPr="00F0543F">
        <w:rPr>
          <w:sz w:val="22"/>
          <w:szCs w:val="22"/>
        </w:rPr>
        <w:t xml:space="preserve"> to which the Project's annual reports and financial statements of account are presented. The </w:t>
      </w:r>
      <w:r w:rsidR="004766FA" w:rsidRPr="00F0543F">
        <w:rPr>
          <w:sz w:val="22"/>
          <w:szCs w:val="22"/>
        </w:rPr>
        <w:t>Auditor</w:t>
      </w:r>
      <w:r w:rsidRPr="00F0543F">
        <w:rPr>
          <w:sz w:val="22"/>
          <w:szCs w:val="22"/>
        </w:rPr>
        <w:t xml:space="preserve"> will receive all notices and other communications relating to that meeting which any member of the </w:t>
      </w:r>
      <w:r w:rsidR="00AA6890" w:rsidRPr="00F0543F">
        <w:rPr>
          <w:sz w:val="22"/>
          <w:szCs w:val="22"/>
        </w:rPr>
        <w:t xml:space="preserve">Governing Body </w:t>
      </w:r>
      <w:r w:rsidRPr="00F0543F">
        <w:rPr>
          <w:sz w:val="22"/>
          <w:szCs w:val="22"/>
        </w:rPr>
        <w:t xml:space="preserve">is entitled to receive. The </w:t>
      </w:r>
      <w:r w:rsidR="004766FA" w:rsidRPr="00F0543F">
        <w:rPr>
          <w:sz w:val="22"/>
          <w:szCs w:val="22"/>
        </w:rPr>
        <w:t>Auditor</w:t>
      </w:r>
      <w:r w:rsidRPr="00F0543F">
        <w:rPr>
          <w:sz w:val="22"/>
          <w:szCs w:val="22"/>
        </w:rPr>
        <w:t xml:space="preserve"> will discuss the audit report and management </w:t>
      </w:r>
      <w:r w:rsidR="0070171E" w:rsidRPr="00F0543F">
        <w:rPr>
          <w:sz w:val="22"/>
          <w:szCs w:val="22"/>
        </w:rPr>
        <w:t>letter</w:t>
      </w:r>
      <w:r w:rsidRPr="00F0543F">
        <w:rPr>
          <w:sz w:val="22"/>
          <w:szCs w:val="22"/>
        </w:rPr>
        <w:t xml:space="preserve"> and any part of the business which concerns the </w:t>
      </w:r>
      <w:r w:rsidR="004766FA" w:rsidRPr="00F0543F">
        <w:rPr>
          <w:sz w:val="22"/>
          <w:szCs w:val="22"/>
        </w:rPr>
        <w:t>Auditor</w:t>
      </w:r>
      <w:r w:rsidRPr="00F0543F">
        <w:rPr>
          <w:sz w:val="22"/>
          <w:szCs w:val="22"/>
        </w:rPr>
        <w:t>.</w:t>
      </w:r>
    </w:p>
    <w:p w14:paraId="223E52E1" w14:textId="77777777" w:rsidR="00B81B21" w:rsidRPr="00F0543F" w:rsidRDefault="00B81B21" w:rsidP="004766FA">
      <w:pPr>
        <w:pStyle w:val="Heading5"/>
        <w:numPr>
          <w:ilvl w:val="0"/>
          <w:numId w:val="17"/>
        </w:numPr>
        <w:tabs>
          <w:tab w:val="left" w:pos="0"/>
        </w:tabs>
        <w:jc w:val="both"/>
        <w:rPr>
          <w:sz w:val="22"/>
          <w:szCs w:val="22"/>
        </w:rPr>
      </w:pPr>
      <w:r w:rsidRPr="00F0543F">
        <w:rPr>
          <w:b/>
          <w:sz w:val="22"/>
          <w:szCs w:val="22"/>
        </w:rPr>
        <w:t xml:space="preserve">Termination of Appointment.  </w:t>
      </w:r>
      <w:r w:rsidRPr="00F0543F">
        <w:rPr>
          <w:sz w:val="22"/>
          <w:szCs w:val="22"/>
        </w:rPr>
        <w:t xml:space="preserve">If there are serious shortcomings on the part of the </w:t>
      </w:r>
      <w:r w:rsidR="004766FA" w:rsidRPr="00F0543F">
        <w:rPr>
          <w:sz w:val="22"/>
          <w:szCs w:val="22"/>
        </w:rPr>
        <w:t>Auditor</w:t>
      </w:r>
      <w:r w:rsidRPr="00F0543F">
        <w:rPr>
          <w:sz w:val="22"/>
          <w:szCs w:val="22"/>
        </w:rPr>
        <w:t xml:space="preserve">, the </w:t>
      </w:r>
      <w:r w:rsidR="00AA6890" w:rsidRPr="00F0543F">
        <w:rPr>
          <w:sz w:val="22"/>
          <w:szCs w:val="22"/>
        </w:rPr>
        <w:t>Governing Body</w:t>
      </w:r>
      <w:r w:rsidRPr="00F0543F">
        <w:rPr>
          <w:sz w:val="22"/>
          <w:szCs w:val="22"/>
        </w:rPr>
        <w:t xml:space="preserve">, after consultation with the World Bank, may pass a resolution to remove the </w:t>
      </w:r>
      <w:r w:rsidR="004766FA" w:rsidRPr="00F0543F">
        <w:rPr>
          <w:sz w:val="22"/>
          <w:szCs w:val="22"/>
        </w:rPr>
        <w:t>Auditor</w:t>
      </w:r>
      <w:r w:rsidRPr="00F0543F">
        <w:rPr>
          <w:sz w:val="22"/>
          <w:szCs w:val="22"/>
        </w:rPr>
        <w:t xml:space="preserve"> before the expiry of their assignment.</w:t>
      </w:r>
    </w:p>
    <w:p w14:paraId="4BFE4938" w14:textId="77777777" w:rsidR="00B81B21" w:rsidRPr="00F0543F" w:rsidRDefault="00B81B21" w:rsidP="0030059F">
      <w:pPr>
        <w:pStyle w:val="Blockquote"/>
        <w:numPr>
          <w:ilvl w:val="0"/>
          <w:numId w:val="17"/>
        </w:numPr>
        <w:jc w:val="both"/>
        <w:rPr>
          <w:sz w:val="22"/>
          <w:szCs w:val="22"/>
        </w:rPr>
      </w:pPr>
      <w:r w:rsidRPr="00F0543F">
        <w:rPr>
          <w:b/>
          <w:sz w:val="22"/>
          <w:szCs w:val="22"/>
        </w:rPr>
        <w:t xml:space="preserve">Restriction of </w:t>
      </w:r>
      <w:r w:rsidR="004766FA" w:rsidRPr="00F0543F">
        <w:rPr>
          <w:b/>
          <w:sz w:val="22"/>
          <w:szCs w:val="22"/>
        </w:rPr>
        <w:t>Auditor</w:t>
      </w:r>
      <w:r w:rsidRPr="00F0543F">
        <w:rPr>
          <w:b/>
          <w:sz w:val="22"/>
          <w:szCs w:val="22"/>
        </w:rPr>
        <w:t>'s Liability</w:t>
      </w:r>
      <w:r w:rsidRPr="00F0543F">
        <w:rPr>
          <w:sz w:val="22"/>
          <w:szCs w:val="22"/>
        </w:rPr>
        <w:t xml:space="preserve">.  There is no limitation of the </w:t>
      </w:r>
      <w:r w:rsidR="004766FA" w:rsidRPr="00F0543F">
        <w:rPr>
          <w:sz w:val="22"/>
          <w:szCs w:val="22"/>
        </w:rPr>
        <w:t>Auditor</w:t>
      </w:r>
      <w:r w:rsidRPr="00F0543F">
        <w:rPr>
          <w:sz w:val="22"/>
          <w:szCs w:val="22"/>
        </w:rPr>
        <w:t xml:space="preserve">s' liability in respect of audit opinions given under this assignment.  The </w:t>
      </w:r>
      <w:r w:rsidR="00AA6890" w:rsidRPr="00F0543F">
        <w:rPr>
          <w:sz w:val="22"/>
          <w:szCs w:val="22"/>
        </w:rPr>
        <w:t xml:space="preserve">Governing Body </w:t>
      </w:r>
      <w:r w:rsidRPr="00F0543F">
        <w:rPr>
          <w:sz w:val="22"/>
          <w:szCs w:val="22"/>
        </w:rPr>
        <w:t>will not agree to any such restriction in liability.</w:t>
      </w:r>
    </w:p>
    <w:p w14:paraId="754BCE1F" w14:textId="7ECF3C5C" w:rsidR="00AF23AD" w:rsidRPr="00F0543F" w:rsidRDefault="0094280D" w:rsidP="005416D2">
      <w:pPr>
        <w:pStyle w:val="BankNormal"/>
        <w:numPr>
          <w:ilvl w:val="0"/>
          <w:numId w:val="17"/>
        </w:numPr>
        <w:ind w:left="357" w:hanging="357"/>
        <w:jc w:val="both"/>
        <w:rPr>
          <w:sz w:val="22"/>
          <w:szCs w:val="22"/>
        </w:rPr>
      </w:pPr>
      <w:r w:rsidRPr="00F0543F">
        <w:rPr>
          <w:b/>
          <w:sz w:val="22"/>
          <w:szCs w:val="22"/>
        </w:rPr>
        <w:t>Exit Conference</w:t>
      </w:r>
      <w:r w:rsidRPr="00F0543F">
        <w:rPr>
          <w:sz w:val="22"/>
          <w:szCs w:val="22"/>
        </w:rPr>
        <w:t>.</w:t>
      </w:r>
      <w:r w:rsidR="00AF23AD" w:rsidRPr="00F0543F">
        <w:rPr>
          <w:sz w:val="22"/>
          <w:szCs w:val="22"/>
        </w:rPr>
        <w:t xml:space="preserve"> The </w:t>
      </w:r>
      <w:r w:rsidR="004766FA" w:rsidRPr="00F0543F">
        <w:rPr>
          <w:sz w:val="22"/>
          <w:szCs w:val="22"/>
        </w:rPr>
        <w:t>Auditor</w:t>
      </w:r>
      <w:r w:rsidR="00AF23AD" w:rsidRPr="00F0543F">
        <w:rPr>
          <w:sz w:val="22"/>
          <w:szCs w:val="22"/>
        </w:rPr>
        <w:t xml:space="preserve"> should hold a closing or exit conference with senior officials of the auditee prior to concluding the audit. Upon completion of the fieldwork, the </w:t>
      </w:r>
      <w:r w:rsidR="004766FA" w:rsidRPr="00F0543F">
        <w:rPr>
          <w:sz w:val="22"/>
          <w:szCs w:val="22"/>
        </w:rPr>
        <w:t>Auditor</w:t>
      </w:r>
      <w:r w:rsidR="00AF23AD" w:rsidRPr="00F0543F">
        <w:rPr>
          <w:sz w:val="22"/>
          <w:szCs w:val="22"/>
        </w:rPr>
        <w:t xml:space="preserve"> should present its audit result and document the exit conference for inclusion in the audit work papers.</w:t>
      </w:r>
    </w:p>
    <w:bookmarkEnd w:id="0"/>
    <w:p w14:paraId="782F60DD" w14:textId="67DE233D" w:rsidR="00B81B21" w:rsidRDefault="00B81B21" w:rsidP="00B81B21">
      <w:pPr>
        <w:tabs>
          <w:tab w:val="left" w:pos="720"/>
          <w:tab w:val="right" w:leader="dot" w:pos="8640"/>
        </w:tabs>
        <w:jc w:val="center"/>
        <w:rPr>
          <w:sz w:val="22"/>
          <w:szCs w:val="22"/>
        </w:rPr>
      </w:pPr>
    </w:p>
    <w:p w14:paraId="703CF9B5" w14:textId="77777777" w:rsidR="00946683" w:rsidRPr="00A85207" w:rsidRDefault="00946683" w:rsidP="00A85207">
      <w:pPr>
        <w:pStyle w:val="Heading5"/>
        <w:keepNext/>
        <w:tabs>
          <w:tab w:val="left" w:pos="0"/>
          <w:tab w:val="num" w:pos="720"/>
        </w:tabs>
        <w:snapToGrid w:val="0"/>
        <w:spacing w:after="100"/>
        <w:ind w:right="357"/>
        <w:jc w:val="both"/>
        <w:rPr>
          <w:b/>
          <w:sz w:val="22"/>
          <w:szCs w:val="22"/>
        </w:rPr>
      </w:pPr>
      <w:bookmarkStart w:id="3" w:name="_Toc141867187"/>
      <w:r w:rsidRPr="00A85207">
        <w:rPr>
          <w:b/>
          <w:sz w:val="22"/>
          <w:szCs w:val="22"/>
        </w:rPr>
        <w:t>Payments</w:t>
      </w:r>
      <w:bookmarkEnd w:id="3"/>
    </w:p>
    <w:p w14:paraId="6E448824" w14:textId="6CDE607F" w:rsidR="00946683" w:rsidRDefault="00946683" w:rsidP="00A85207">
      <w:pPr>
        <w:jc w:val="both"/>
      </w:pPr>
      <w:r>
        <w:t>Payments will be based on the deliverables (</w:t>
      </w:r>
      <w:r w:rsidRPr="00946683">
        <w:t>Yearly Audit Report for each project</w:t>
      </w:r>
      <w:r>
        <w:t xml:space="preserve"> </w:t>
      </w:r>
      <w:r w:rsidRPr="00946683">
        <w:t>separately</w:t>
      </w:r>
      <w:r>
        <w:t xml:space="preserve"> and a </w:t>
      </w:r>
      <w:r w:rsidRPr="00946683">
        <w:t>Yearly Combined Management Letter for all projects</w:t>
      </w:r>
      <w:r>
        <w:t xml:space="preserve">) provided by the audit team. </w:t>
      </w:r>
    </w:p>
    <w:p w14:paraId="18E819BE" w14:textId="77777777" w:rsidR="008D2909" w:rsidRDefault="008D2909" w:rsidP="008D2909">
      <w:pPr>
        <w:jc w:val="both"/>
      </w:pPr>
    </w:p>
    <w:tbl>
      <w:tblPr>
        <w:tblStyle w:val="TableGrid"/>
        <w:tblW w:w="9085" w:type="dxa"/>
        <w:tblLook w:val="04A0" w:firstRow="1" w:lastRow="0" w:firstColumn="1" w:lastColumn="0" w:noHBand="0" w:noVBand="1"/>
      </w:tblPr>
      <w:tblGrid>
        <w:gridCol w:w="7142"/>
        <w:gridCol w:w="1943"/>
      </w:tblGrid>
      <w:tr w:rsidR="008D2909" w:rsidRPr="00D24AB5" w14:paraId="6874E8E4" w14:textId="77777777" w:rsidTr="00DC78EE">
        <w:tc>
          <w:tcPr>
            <w:tcW w:w="0" w:type="auto"/>
          </w:tcPr>
          <w:p w14:paraId="1B30495F" w14:textId="77777777" w:rsidR="008D2909" w:rsidRPr="00451547" w:rsidRDefault="008D2909" w:rsidP="00DC78EE">
            <w:pPr>
              <w:jc w:val="both"/>
              <w:rPr>
                <w:b/>
                <w:iCs/>
                <w:color w:val="000000" w:themeColor="text1"/>
                <w:sz w:val="22"/>
                <w:szCs w:val="18"/>
              </w:rPr>
            </w:pPr>
            <w:r w:rsidRPr="00451547">
              <w:rPr>
                <w:b/>
                <w:iCs/>
                <w:color w:val="000000" w:themeColor="text1"/>
                <w:sz w:val="22"/>
                <w:szCs w:val="18"/>
              </w:rPr>
              <w:t>Project Name</w:t>
            </w:r>
          </w:p>
        </w:tc>
        <w:tc>
          <w:tcPr>
            <w:tcW w:w="1943" w:type="dxa"/>
          </w:tcPr>
          <w:p w14:paraId="267B6F98" w14:textId="77777777" w:rsidR="008D2909" w:rsidRPr="00451547" w:rsidRDefault="008D2909" w:rsidP="00DC78EE">
            <w:pPr>
              <w:jc w:val="both"/>
              <w:rPr>
                <w:b/>
                <w:iCs/>
                <w:color w:val="000000" w:themeColor="text1"/>
                <w:sz w:val="22"/>
                <w:szCs w:val="18"/>
              </w:rPr>
            </w:pPr>
            <w:r>
              <w:rPr>
                <w:b/>
                <w:iCs/>
                <w:color w:val="000000" w:themeColor="text1"/>
                <w:sz w:val="22"/>
                <w:szCs w:val="18"/>
              </w:rPr>
              <w:t>Payment (USD)</w:t>
            </w:r>
          </w:p>
        </w:tc>
      </w:tr>
      <w:tr w:rsidR="008D2909" w:rsidRPr="00D24AB5" w14:paraId="301409AF" w14:textId="77777777" w:rsidTr="00DC78EE">
        <w:tc>
          <w:tcPr>
            <w:tcW w:w="0" w:type="auto"/>
          </w:tcPr>
          <w:p w14:paraId="68176863" w14:textId="77777777" w:rsidR="008D2909" w:rsidRPr="00DC78EE" w:rsidRDefault="008D2909" w:rsidP="00DC78EE">
            <w:pPr>
              <w:jc w:val="both"/>
              <w:rPr>
                <w:bCs/>
                <w:iCs/>
                <w:color w:val="000000" w:themeColor="text1"/>
              </w:rPr>
            </w:pPr>
            <w:r>
              <w:rPr>
                <w:bCs/>
                <w:iCs/>
                <w:color w:val="000000" w:themeColor="text1"/>
              </w:rPr>
              <w:t xml:space="preserve">D.1 </w:t>
            </w:r>
            <w:r w:rsidRPr="00E96AEE">
              <w:rPr>
                <w:bCs/>
                <w:iCs/>
                <w:color w:val="000000" w:themeColor="text1"/>
              </w:rPr>
              <w:t>The Greater Beirut Water Supply Project (IBRD#79670)</w:t>
            </w:r>
          </w:p>
        </w:tc>
        <w:tc>
          <w:tcPr>
            <w:tcW w:w="1943" w:type="dxa"/>
          </w:tcPr>
          <w:p w14:paraId="650C9DF1" w14:textId="77777777" w:rsidR="008D2909" w:rsidRPr="00E96AEE" w:rsidRDefault="008D2909" w:rsidP="00DC78EE">
            <w:pPr>
              <w:jc w:val="both"/>
              <w:rPr>
                <w:bCs/>
                <w:iCs/>
                <w:color w:val="000000" w:themeColor="text1"/>
              </w:rPr>
            </w:pPr>
          </w:p>
        </w:tc>
      </w:tr>
      <w:tr w:rsidR="008D2909" w:rsidRPr="00D24AB5" w14:paraId="024236B3" w14:textId="77777777" w:rsidTr="00DC78EE">
        <w:tc>
          <w:tcPr>
            <w:tcW w:w="0" w:type="auto"/>
          </w:tcPr>
          <w:p w14:paraId="0BC43DF8" w14:textId="77777777" w:rsidR="008D2909" w:rsidRPr="00DC78EE" w:rsidRDefault="008D2909" w:rsidP="00DC78EE">
            <w:pPr>
              <w:jc w:val="both"/>
              <w:rPr>
                <w:bCs/>
                <w:iCs/>
                <w:color w:val="000000" w:themeColor="text1"/>
              </w:rPr>
            </w:pPr>
            <w:r>
              <w:rPr>
                <w:bCs/>
                <w:iCs/>
                <w:color w:val="000000" w:themeColor="text1"/>
              </w:rPr>
              <w:t xml:space="preserve">D.2 </w:t>
            </w:r>
            <w:r w:rsidRPr="00E96AEE">
              <w:rPr>
                <w:bCs/>
                <w:iCs/>
                <w:color w:val="000000" w:themeColor="text1"/>
              </w:rPr>
              <w:t>The Water Supply Augmentation Project (IBRD#8443)</w:t>
            </w:r>
          </w:p>
        </w:tc>
        <w:tc>
          <w:tcPr>
            <w:tcW w:w="1943" w:type="dxa"/>
          </w:tcPr>
          <w:p w14:paraId="0289F9D6" w14:textId="77777777" w:rsidR="008D2909" w:rsidRPr="00E96AEE" w:rsidRDefault="008D2909" w:rsidP="00DC78EE">
            <w:pPr>
              <w:jc w:val="both"/>
              <w:rPr>
                <w:bCs/>
                <w:iCs/>
                <w:color w:val="000000" w:themeColor="text1"/>
              </w:rPr>
            </w:pPr>
          </w:p>
        </w:tc>
      </w:tr>
      <w:tr w:rsidR="008D2909" w:rsidRPr="00D24AB5" w14:paraId="238BAF75" w14:textId="77777777" w:rsidTr="00DC78EE">
        <w:tc>
          <w:tcPr>
            <w:tcW w:w="0" w:type="auto"/>
          </w:tcPr>
          <w:p w14:paraId="41392E19" w14:textId="77777777" w:rsidR="008D2909" w:rsidRPr="00DC78EE" w:rsidRDefault="008D2909" w:rsidP="00DC78EE">
            <w:pPr>
              <w:jc w:val="both"/>
              <w:rPr>
                <w:bCs/>
                <w:iCs/>
                <w:color w:val="000000" w:themeColor="text1"/>
              </w:rPr>
            </w:pPr>
            <w:r>
              <w:rPr>
                <w:bCs/>
                <w:iCs/>
                <w:color w:val="000000" w:themeColor="text1"/>
              </w:rPr>
              <w:t xml:space="preserve">D.3 </w:t>
            </w:r>
            <w:r w:rsidRPr="00E96AEE">
              <w:rPr>
                <w:bCs/>
                <w:iCs/>
                <w:color w:val="000000" w:themeColor="text1"/>
              </w:rPr>
              <w:t xml:space="preserve">The Lake </w:t>
            </w:r>
            <w:proofErr w:type="spellStart"/>
            <w:r w:rsidRPr="00E96AEE">
              <w:rPr>
                <w:bCs/>
                <w:iCs/>
                <w:color w:val="000000" w:themeColor="text1"/>
              </w:rPr>
              <w:t>Qaraoun</w:t>
            </w:r>
            <w:proofErr w:type="spellEnd"/>
            <w:r w:rsidRPr="00E96AEE">
              <w:rPr>
                <w:bCs/>
                <w:iCs/>
                <w:color w:val="000000" w:themeColor="text1"/>
              </w:rPr>
              <w:t xml:space="preserve"> Pollution Prevention  Project (IBRD#8637)</w:t>
            </w:r>
          </w:p>
        </w:tc>
        <w:tc>
          <w:tcPr>
            <w:tcW w:w="1943" w:type="dxa"/>
          </w:tcPr>
          <w:p w14:paraId="49AA40FB" w14:textId="77777777" w:rsidR="008D2909" w:rsidRPr="00E96AEE" w:rsidRDefault="008D2909" w:rsidP="00DC78EE">
            <w:pPr>
              <w:jc w:val="both"/>
              <w:rPr>
                <w:bCs/>
                <w:iCs/>
                <w:color w:val="000000" w:themeColor="text1"/>
              </w:rPr>
            </w:pPr>
          </w:p>
        </w:tc>
      </w:tr>
      <w:tr w:rsidR="008D2909" w:rsidRPr="00D24AB5" w14:paraId="03BADA3E" w14:textId="77777777" w:rsidTr="00DC78EE">
        <w:tc>
          <w:tcPr>
            <w:tcW w:w="0" w:type="auto"/>
          </w:tcPr>
          <w:p w14:paraId="40D6DFEA" w14:textId="77777777" w:rsidR="008D2909" w:rsidRPr="00DC78EE" w:rsidRDefault="008D2909" w:rsidP="00DC78EE">
            <w:pPr>
              <w:jc w:val="both"/>
              <w:rPr>
                <w:bCs/>
                <w:iCs/>
                <w:color w:val="000000" w:themeColor="text1"/>
              </w:rPr>
            </w:pPr>
            <w:r>
              <w:rPr>
                <w:bCs/>
                <w:iCs/>
                <w:color w:val="000000" w:themeColor="text1"/>
              </w:rPr>
              <w:t xml:space="preserve">D.4 </w:t>
            </w:r>
            <w:r w:rsidRPr="00E96AEE">
              <w:rPr>
                <w:bCs/>
                <w:iCs/>
                <w:color w:val="000000" w:themeColor="text1"/>
              </w:rPr>
              <w:t>The Roads and Employment Project (IBRD#8705-TF0A4481)</w:t>
            </w:r>
          </w:p>
        </w:tc>
        <w:tc>
          <w:tcPr>
            <w:tcW w:w="1943" w:type="dxa"/>
          </w:tcPr>
          <w:p w14:paraId="0E58E7A2" w14:textId="77777777" w:rsidR="008D2909" w:rsidRPr="00E96AEE" w:rsidRDefault="008D2909" w:rsidP="00DC78EE">
            <w:pPr>
              <w:jc w:val="both"/>
              <w:rPr>
                <w:bCs/>
                <w:iCs/>
                <w:color w:val="000000" w:themeColor="text1"/>
              </w:rPr>
            </w:pPr>
          </w:p>
        </w:tc>
      </w:tr>
      <w:tr w:rsidR="008D2909" w:rsidRPr="00D24AB5" w14:paraId="781AF83A" w14:textId="77777777" w:rsidTr="00DC78EE">
        <w:tc>
          <w:tcPr>
            <w:tcW w:w="0" w:type="auto"/>
          </w:tcPr>
          <w:p w14:paraId="32532C54" w14:textId="77777777" w:rsidR="008D2909" w:rsidRPr="00E96AEE" w:rsidRDefault="008D2909" w:rsidP="00DC78EE">
            <w:pPr>
              <w:jc w:val="both"/>
              <w:rPr>
                <w:bCs/>
                <w:iCs/>
                <w:color w:val="000000" w:themeColor="text1"/>
              </w:rPr>
            </w:pPr>
            <w:r>
              <w:rPr>
                <w:bCs/>
                <w:iCs/>
                <w:color w:val="000000" w:themeColor="text1"/>
              </w:rPr>
              <w:t xml:space="preserve">D.5 </w:t>
            </w:r>
            <w:r w:rsidRPr="00E96AEE">
              <w:rPr>
                <w:bCs/>
                <w:iCs/>
                <w:color w:val="000000" w:themeColor="text1"/>
              </w:rPr>
              <w:t>The Greater Beirut Public Transport Project (IBRD#8838- TF#0A7880)</w:t>
            </w:r>
          </w:p>
        </w:tc>
        <w:tc>
          <w:tcPr>
            <w:tcW w:w="1943" w:type="dxa"/>
          </w:tcPr>
          <w:p w14:paraId="3BD86802" w14:textId="77777777" w:rsidR="008D2909" w:rsidRPr="00E96AEE" w:rsidRDefault="008D2909" w:rsidP="00DC78EE">
            <w:pPr>
              <w:jc w:val="both"/>
              <w:rPr>
                <w:bCs/>
                <w:iCs/>
                <w:color w:val="000000" w:themeColor="text1"/>
              </w:rPr>
            </w:pPr>
          </w:p>
        </w:tc>
      </w:tr>
    </w:tbl>
    <w:p w14:paraId="4FFACED9" w14:textId="77777777" w:rsidR="00946683" w:rsidRPr="00F0543F" w:rsidRDefault="00946683" w:rsidP="00A85207">
      <w:pPr>
        <w:tabs>
          <w:tab w:val="left" w:pos="720"/>
          <w:tab w:val="right" w:leader="dot" w:pos="8640"/>
        </w:tabs>
        <w:rPr>
          <w:sz w:val="22"/>
          <w:szCs w:val="22"/>
        </w:rPr>
      </w:pPr>
    </w:p>
    <w:sectPr w:rsidR="00946683" w:rsidRPr="00F0543F" w:rsidSect="002D04DF">
      <w:headerReference w:type="default" r:id="rId7"/>
      <w:footerReference w:type="default" r:id="rId8"/>
      <w:headerReference w:type="first" r:id="rId9"/>
      <w:footerReference w:type="first" r:id="rId10"/>
      <w:pgSz w:w="11909" w:h="16834"/>
      <w:pgMar w:top="1440" w:right="1199" w:bottom="1440" w:left="1710" w:header="720" w:footer="720" w:gutter="0"/>
      <w:paperSrc w:first="22578" w:other="22578"/>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62631" w16cex:dateUtc="2024-02-13T15:32:00Z"/>
  <w16cex:commentExtensible w16cex:durableId="297625F3" w16cex:dateUtc="2024-02-13T15:31:00Z"/>
  <w16cex:commentExtensible w16cex:durableId="29762674" w16cex:dateUtc="2024-02-13T15:33:00Z"/>
  <w16cex:commentExtensible w16cex:durableId="297626A8" w16cex:dateUtc="2024-02-13T15:34:00Z"/>
  <w16cex:commentExtensible w16cex:durableId="297604F5" w16cex:dateUtc="2024-02-13T13:10:00Z"/>
  <w16cex:commentExtensible w16cex:durableId="2976271F" w16cex:dateUtc="2024-02-13T15:36:00Z"/>
  <w16cex:commentExtensible w16cex:durableId="297626FF" w16cex:dateUtc="2024-02-13T15:35:00Z"/>
  <w16cex:commentExtensible w16cex:durableId="29760086" w16cex:dateUtc="2024-02-13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308271" w16cid:durableId="29762631"/>
  <w16cid:commentId w16cid:paraId="223CA5D6" w16cid:durableId="297625F3"/>
  <w16cid:commentId w16cid:paraId="59A25AED" w16cid:durableId="29762674"/>
  <w16cid:commentId w16cid:paraId="678830FB" w16cid:durableId="297626A8"/>
  <w16cid:commentId w16cid:paraId="197116C7" w16cid:durableId="297604F5"/>
  <w16cid:commentId w16cid:paraId="5D1F3A94" w16cid:durableId="2976271F"/>
  <w16cid:commentId w16cid:paraId="741AF281" w16cid:durableId="297626FF"/>
  <w16cid:commentId w16cid:paraId="5A672621" w16cid:durableId="2976008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42767" w14:textId="77777777" w:rsidR="00063E46" w:rsidRDefault="00063E46">
      <w:r>
        <w:separator/>
      </w:r>
    </w:p>
  </w:endnote>
  <w:endnote w:type="continuationSeparator" w:id="0">
    <w:p w14:paraId="1BB4E831" w14:textId="77777777" w:rsidR="00063E46" w:rsidRDefault="00063E46">
      <w:r>
        <w:continuationSeparator/>
      </w:r>
    </w:p>
  </w:endnote>
  <w:endnote w:id="1">
    <w:p w14:paraId="7F4F4F79" w14:textId="77777777" w:rsidR="00D9119F" w:rsidRDefault="00D9119F" w:rsidP="0023711B">
      <w:pPr>
        <w:pStyle w:val="EndnoteText"/>
        <w:jc w:val="both"/>
      </w:pPr>
    </w:p>
    <w:p w14:paraId="20A8DCA8" w14:textId="77777777" w:rsidR="00763CF6" w:rsidRPr="004609C6" w:rsidRDefault="00763CF6" w:rsidP="0023711B">
      <w:pPr>
        <w:pStyle w:val="EndnoteText"/>
        <w:jc w:val="both"/>
        <w:rPr>
          <w:sz w:val="18"/>
          <w:szCs w:val="18"/>
        </w:rPr>
      </w:pPr>
      <w:r w:rsidRPr="004609C6">
        <w:rPr>
          <w:rStyle w:val="EndnoteReference"/>
          <w:sz w:val="18"/>
          <w:szCs w:val="18"/>
        </w:rPr>
        <w:endnoteRef/>
      </w:r>
      <w:r w:rsidRPr="004609C6">
        <w:rPr>
          <w:sz w:val="18"/>
          <w:szCs w:val="18"/>
        </w:rPr>
        <w:t xml:space="preserve">  The Governing Body may refer to its internally generated PFS under other terminologies like “Project Sources and Uses of Funds” which also refers to the Statement of Cash Receipts and Payments, “Withdrawal applications by category” which also refers to the Statement of Cash payments and “Financial Summary Status report” which also refers to Contract listing of all contracts.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D99F0" w14:textId="74CA66D0" w:rsidR="00995A25" w:rsidRPr="00995A25" w:rsidRDefault="00995A25">
    <w:pPr>
      <w:pStyle w:val="Footer"/>
      <w:rPr>
        <w:sz w:val="16"/>
        <w:szCs w:val="16"/>
      </w:rPr>
    </w:pPr>
    <w:r w:rsidRPr="00995A25">
      <w:rPr>
        <w:sz w:val="16"/>
        <w:szCs w:val="16"/>
      </w:rPr>
      <w:fldChar w:fldCharType="begin"/>
    </w:r>
    <w:r w:rsidRPr="00995A25">
      <w:rPr>
        <w:sz w:val="16"/>
        <w:szCs w:val="16"/>
      </w:rPr>
      <w:instrText xml:space="preserve"> FILENAME   \* MERGEFORMAT </w:instrText>
    </w:r>
    <w:r w:rsidRPr="00995A25">
      <w:rPr>
        <w:sz w:val="16"/>
        <w:szCs w:val="16"/>
      </w:rPr>
      <w:fldChar w:fldCharType="separate"/>
    </w:r>
    <w:r w:rsidRPr="00995A25">
      <w:rPr>
        <w:noProof/>
        <w:sz w:val="16"/>
        <w:szCs w:val="16"/>
      </w:rPr>
      <w:t>892 - CDR WB projects Audit TOR 2024-Final</w:t>
    </w:r>
    <w:r w:rsidRPr="00995A25">
      <w:rPr>
        <w:sz w:val="16"/>
        <w:szCs w:val="16"/>
      </w:rPr>
      <w:fldChar w:fldCharType="end"/>
    </w:r>
  </w:p>
  <w:p w14:paraId="13D73E7D" w14:textId="33570C19" w:rsidR="00995A25" w:rsidRPr="00995A25" w:rsidRDefault="00995A25">
    <w:pPr>
      <w:pStyle w:val="Footer"/>
      <w:rPr>
        <w:lang w:val="en-US"/>
      </w:rPr>
    </w:pPr>
    <w:r w:rsidRPr="00995A25">
      <w:rPr>
        <w:sz w:val="16"/>
        <w:szCs w:val="16"/>
        <w:lang w:val="en-US"/>
      </w:rPr>
      <w:t>25/7/24</w:t>
    </w:r>
    <w:r>
      <w:rPr>
        <w:lang w:val="en-US"/>
      </w:rPr>
      <w:tab/>
    </w:r>
    <w:r>
      <w:rPr>
        <w:lang w:val="en-US"/>
      </w:rPr>
      <w:tab/>
    </w:r>
    <w:r>
      <w:rPr>
        <w:lang w:val="en-US"/>
      </w:rPr>
      <w:fldChar w:fldCharType="begin"/>
    </w:r>
    <w:r>
      <w:rPr>
        <w:lang w:val="en-US"/>
      </w:rPr>
      <w:instrText xml:space="preserve"> PAGE   \* MERGEFORMAT </w:instrText>
    </w:r>
    <w:r>
      <w:rPr>
        <w:lang w:val="en-US"/>
      </w:rPr>
      <w:fldChar w:fldCharType="separate"/>
    </w:r>
    <w:r>
      <w:rPr>
        <w:noProof/>
        <w:lang w:val="en-US"/>
      </w:rPr>
      <w:t>7</w:t>
    </w:r>
    <w:r>
      <w:rPr>
        <w:lang w:val="en-US"/>
      </w:rPr>
      <w:fldChar w:fldCharType="end"/>
    </w:r>
    <w:r>
      <w:rPr>
        <w:lang w:val="en-US"/>
      </w:rPr>
      <w:t>/</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6EF0C" w14:textId="25B5AF59" w:rsidR="00E913CD" w:rsidRPr="00E913CD" w:rsidRDefault="00E913CD">
    <w:pPr>
      <w:pStyle w:val="Footer"/>
      <w:rPr>
        <w:sz w:val="16"/>
        <w:szCs w:val="16"/>
      </w:rPr>
    </w:pPr>
    <w:r w:rsidRPr="00E913CD">
      <w:rPr>
        <w:sz w:val="16"/>
        <w:szCs w:val="16"/>
      </w:rPr>
      <w:fldChar w:fldCharType="begin"/>
    </w:r>
    <w:r w:rsidRPr="00E913CD">
      <w:rPr>
        <w:sz w:val="16"/>
        <w:szCs w:val="16"/>
      </w:rPr>
      <w:instrText xml:space="preserve"> FILENAME   \* MERGEFORMAT </w:instrText>
    </w:r>
    <w:r w:rsidRPr="00E913CD">
      <w:rPr>
        <w:sz w:val="16"/>
        <w:szCs w:val="16"/>
      </w:rPr>
      <w:fldChar w:fldCharType="separate"/>
    </w:r>
    <w:r w:rsidR="00995A25">
      <w:rPr>
        <w:noProof/>
        <w:sz w:val="16"/>
        <w:szCs w:val="16"/>
      </w:rPr>
      <w:t>892 - CDR WB projects Audit TOR 2024-Final</w:t>
    </w:r>
    <w:r w:rsidRPr="00E913CD">
      <w:rPr>
        <w:sz w:val="16"/>
        <w:szCs w:val="16"/>
      </w:rPr>
      <w:fldChar w:fldCharType="end"/>
    </w:r>
  </w:p>
  <w:p w14:paraId="42B9B651" w14:textId="34C36C3B" w:rsidR="00E913CD" w:rsidRPr="00E913CD" w:rsidRDefault="00E913CD">
    <w:pPr>
      <w:pStyle w:val="Footer"/>
      <w:rPr>
        <w:lang w:val="en-US"/>
      </w:rPr>
    </w:pPr>
    <w:r w:rsidRPr="00E913CD">
      <w:rPr>
        <w:sz w:val="16"/>
        <w:szCs w:val="16"/>
        <w:lang w:val="en-US"/>
      </w:rPr>
      <w:t>25/7/24</w:t>
    </w:r>
    <w:r>
      <w:rPr>
        <w:lang w:val="en-US"/>
      </w:rPr>
      <w:tab/>
    </w:r>
    <w:r>
      <w:rPr>
        <w:lang w:val="en-US"/>
      </w:rPr>
      <w:tab/>
    </w:r>
    <w:r>
      <w:rPr>
        <w:lang w:val="en-US"/>
      </w:rPr>
      <w:fldChar w:fldCharType="begin"/>
    </w:r>
    <w:r>
      <w:rPr>
        <w:lang w:val="en-US"/>
      </w:rPr>
      <w:instrText xml:space="preserve"> PAGE   \* MERGEFORMAT </w:instrText>
    </w:r>
    <w:r>
      <w:rPr>
        <w:lang w:val="en-US"/>
      </w:rPr>
      <w:fldChar w:fldCharType="separate"/>
    </w:r>
    <w:r w:rsidR="00995A25">
      <w:rPr>
        <w:noProof/>
        <w:lang w:val="en-US"/>
      </w:rPr>
      <w:t>1</w:t>
    </w:r>
    <w:r>
      <w:rPr>
        <w:lang w:val="en-US"/>
      </w:rPr>
      <w:fldChar w:fldCharType="end"/>
    </w:r>
    <w:r>
      <w:rPr>
        <w:lang w:val="en-US"/>
      </w:rPr>
      <w:t>/</w:t>
    </w:r>
    <w:r>
      <w:rPr>
        <w:lang w:val="en-US"/>
      </w:rPr>
      <w:fldChar w:fldCharType="begin"/>
    </w:r>
    <w:r>
      <w:rPr>
        <w:lang w:val="en-US"/>
      </w:rPr>
      <w:instrText xml:space="preserve"> NUMPAGES   \* MERGEFORMAT </w:instrText>
    </w:r>
    <w:r>
      <w:rPr>
        <w:lang w:val="en-US"/>
      </w:rPr>
      <w:fldChar w:fldCharType="separate"/>
    </w:r>
    <w:r w:rsidR="00995A25">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78132" w14:textId="77777777" w:rsidR="00063E46" w:rsidRDefault="00063E46">
      <w:r>
        <w:separator/>
      </w:r>
    </w:p>
  </w:footnote>
  <w:footnote w:type="continuationSeparator" w:id="0">
    <w:p w14:paraId="6960BDBF" w14:textId="77777777" w:rsidR="00063E46" w:rsidRDefault="00063E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7FBAA" w14:textId="77777777" w:rsidR="008A3C3C" w:rsidRPr="004A6F08" w:rsidRDefault="008A3C3C" w:rsidP="008A3C3C">
    <w:pPr>
      <w:pStyle w:val="NormalWeb"/>
      <w:spacing w:after="240"/>
      <w:ind w:left="-960"/>
      <w:rPr>
        <w:sz w:val="18"/>
        <w:szCs w:val="18"/>
      </w:rPr>
    </w:pPr>
    <w:r w:rsidRPr="004A6F08">
      <w:rPr>
        <w:sz w:val="18"/>
        <w:szCs w:val="18"/>
      </w:rPr>
      <w:t xml:space="preserve">COUNCIL FOR DEVELOPMENT &amp; RECONSTRUCTION </w:t>
    </w:r>
  </w:p>
  <w:p w14:paraId="0C235966" w14:textId="77777777" w:rsidR="00CF5B02" w:rsidRDefault="00CF5B0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8E315" w14:textId="77777777" w:rsidR="008A3C3C" w:rsidRPr="007055A0" w:rsidRDefault="008A3C3C" w:rsidP="008A3C3C">
    <w:pPr>
      <w:pStyle w:val="Header"/>
      <w:jc w:val="center"/>
      <w:rPr>
        <w:sz w:val="28"/>
        <w:szCs w:val="28"/>
      </w:rPr>
    </w:pPr>
    <w:r w:rsidRPr="007055A0">
      <w:rPr>
        <w:sz w:val="28"/>
        <w:szCs w:val="28"/>
      </w:rPr>
      <w:t>COUNCIL FOR DEVELOPMENT AND RECONSTRUCTION</w:t>
    </w:r>
  </w:p>
  <w:p w14:paraId="41CC8561" w14:textId="77777777" w:rsidR="008A3C3C" w:rsidRPr="00FF3C2A" w:rsidRDefault="008A3C3C" w:rsidP="008A3C3C">
    <w:pPr>
      <w:pStyle w:val="Header"/>
      <w:jc w:val="center"/>
      <w:rPr>
        <w:sz w:val="28"/>
        <w:szCs w:val="28"/>
      </w:rPr>
    </w:pPr>
    <w:r w:rsidRPr="007055A0">
      <w:rPr>
        <w:sz w:val="28"/>
        <w:szCs w:val="28"/>
      </w:rPr>
      <w:t>BEIRUT - LEBANON</w:t>
    </w:r>
  </w:p>
  <w:p w14:paraId="5E25B187" w14:textId="77777777" w:rsidR="008A3C3C" w:rsidRDefault="008A3C3C" w:rsidP="008A3C3C">
    <w:pPr>
      <w:pStyle w:val="Header"/>
    </w:pPr>
  </w:p>
  <w:p w14:paraId="23E7578B" w14:textId="752685BD" w:rsidR="00521721" w:rsidRPr="00521721" w:rsidRDefault="00521721" w:rsidP="008A3C3C">
    <w:pPr>
      <w:pStyle w:val="Header"/>
      <w:jc w:val="center"/>
      <w:rPr>
        <w:sz w:val="20"/>
      </w:rPr>
    </w:pPr>
  </w:p>
  <w:p w14:paraId="7D16456F" w14:textId="77777777" w:rsidR="00763CF6" w:rsidRPr="00521721" w:rsidRDefault="00763CF6" w:rsidP="0052172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247"/>
    <w:multiLevelType w:val="hybridMultilevel"/>
    <w:tmpl w:val="0E22ABB2"/>
    <w:lvl w:ilvl="0" w:tplc="CFF6C2C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FC11B97"/>
    <w:multiLevelType w:val="hybridMultilevel"/>
    <w:tmpl w:val="4D448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477DF"/>
    <w:multiLevelType w:val="hybridMultilevel"/>
    <w:tmpl w:val="DEBA3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B9527E"/>
    <w:multiLevelType w:val="hybridMultilevel"/>
    <w:tmpl w:val="E44842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BA06B6"/>
    <w:multiLevelType w:val="hybridMultilevel"/>
    <w:tmpl w:val="3906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62124"/>
    <w:multiLevelType w:val="hybridMultilevel"/>
    <w:tmpl w:val="4A2A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52294F"/>
    <w:multiLevelType w:val="hybridMultilevel"/>
    <w:tmpl w:val="FDB6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70A86"/>
    <w:multiLevelType w:val="hybridMultilevel"/>
    <w:tmpl w:val="DFF68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75392"/>
    <w:multiLevelType w:val="hybridMultilevel"/>
    <w:tmpl w:val="A8E61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771300"/>
    <w:multiLevelType w:val="hybridMultilevel"/>
    <w:tmpl w:val="55A8881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026"/>
        </w:tabs>
        <w:ind w:left="1026"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42B14F40"/>
    <w:multiLevelType w:val="hybridMultilevel"/>
    <w:tmpl w:val="3DA8A5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47330F"/>
    <w:multiLevelType w:val="hybridMultilevel"/>
    <w:tmpl w:val="2FFA0D68"/>
    <w:lvl w:ilvl="0" w:tplc="6A2A458A">
      <w:start w:val="1"/>
      <w:numFmt w:val="low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FA37856"/>
    <w:multiLevelType w:val="hybridMultilevel"/>
    <w:tmpl w:val="4C7EE226"/>
    <w:lvl w:ilvl="0" w:tplc="0409000B">
      <w:start w:val="1"/>
      <w:numFmt w:val="bullet"/>
      <w:lvlText w:val=""/>
      <w:lvlJc w:val="left"/>
      <w:pPr>
        <w:ind w:left="54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A748C3"/>
    <w:multiLevelType w:val="hybridMultilevel"/>
    <w:tmpl w:val="9EF826CC"/>
    <w:lvl w:ilvl="0" w:tplc="37E49250">
      <w:start w:val="5"/>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C3A6EB0"/>
    <w:multiLevelType w:val="hybridMultilevel"/>
    <w:tmpl w:val="4D4EF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1513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6910E8"/>
    <w:multiLevelType w:val="hybridMultilevel"/>
    <w:tmpl w:val="9DBE10E8"/>
    <w:lvl w:ilvl="0" w:tplc="0409000B">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F085B"/>
    <w:multiLevelType w:val="hybridMultilevel"/>
    <w:tmpl w:val="79261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E72E4B"/>
    <w:multiLevelType w:val="hybridMultilevel"/>
    <w:tmpl w:val="55342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3B2D17"/>
    <w:multiLevelType w:val="hybridMultilevel"/>
    <w:tmpl w:val="482C1E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D2F6611"/>
    <w:multiLevelType w:val="hybridMultilevel"/>
    <w:tmpl w:val="C574A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4D7A6C"/>
    <w:multiLevelType w:val="hybridMultilevel"/>
    <w:tmpl w:val="9402A986"/>
    <w:lvl w:ilvl="0" w:tplc="7E52B418">
      <w:start w:val="7"/>
      <w:numFmt w:val="low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2AC050C"/>
    <w:multiLevelType w:val="hybridMultilevel"/>
    <w:tmpl w:val="8702E6F8"/>
    <w:lvl w:ilvl="0" w:tplc="49EC6B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num>
  <w:num w:numId="13">
    <w:abstractNumId w:val="13"/>
  </w:num>
  <w:num w:numId="14">
    <w:abstractNumId w:val="11"/>
  </w:num>
  <w:num w:numId="15">
    <w:abstractNumId w:val="19"/>
  </w:num>
  <w:num w:numId="16">
    <w:abstractNumId w:val="3"/>
  </w:num>
  <w:num w:numId="17">
    <w:abstractNumId w:val="20"/>
  </w:num>
  <w:num w:numId="18">
    <w:abstractNumId w:val="9"/>
  </w:num>
  <w:num w:numId="19">
    <w:abstractNumId w:val="4"/>
  </w:num>
  <w:num w:numId="20">
    <w:abstractNumId w:val="1"/>
  </w:num>
  <w:num w:numId="21">
    <w:abstractNumId w:val="8"/>
  </w:num>
  <w:num w:numId="22">
    <w:abstractNumId w:val="2"/>
  </w:num>
  <w:num w:numId="23">
    <w:abstractNumId w:val="18"/>
  </w:num>
  <w:num w:numId="24">
    <w:abstractNumId w:val="21"/>
  </w:num>
  <w:num w:numId="25">
    <w:abstractNumId w:val="6"/>
  </w:num>
  <w:num w:numId="26">
    <w:abstractNumId w:val="5"/>
  </w:num>
  <w:num w:numId="27">
    <w:abstractNumId w:val="7"/>
  </w:num>
  <w:num w:numId="28">
    <w:abstractNumId w:val="15"/>
  </w:num>
  <w:num w:numId="29">
    <w:abstractNumId w:val="13"/>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21"/>
    <w:rsid w:val="00000A82"/>
    <w:rsid w:val="00002E66"/>
    <w:rsid w:val="0001033A"/>
    <w:rsid w:val="00017002"/>
    <w:rsid w:val="00017705"/>
    <w:rsid w:val="000219B0"/>
    <w:rsid w:val="000220C6"/>
    <w:rsid w:val="00022404"/>
    <w:rsid w:val="00024BED"/>
    <w:rsid w:val="00031796"/>
    <w:rsid w:val="00037A43"/>
    <w:rsid w:val="0004508D"/>
    <w:rsid w:val="000503E1"/>
    <w:rsid w:val="00061E0C"/>
    <w:rsid w:val="00062D28"/>
    <w:rsid w:val="00063E46"/>
    <w:rsid w:val="000663AD"/>
    <w:rsid w:val="000704B6"/>
    <w:rsid w:val="0008169D"/>
    <w:rsid w:val="000822D1"/>
    <w:rsid w:val="00083AE8"/>
    <w:rsid w:val="00083BAC"/>
    <w:rsid w:val="0008470E"/>
    <w:rsid w:val="000850D6"/>
    <w:rsid w:val="00092C42"/>
    <w:rsid w:val="00096169"/>
    <w:rsid w:val="0009726B"/>
    <w:rsid w:val="00097AB7"/>
    <w:rsid w:val="000A2DFB"/>
    <w:rsid w:val="000A488F"/>
    <w:rsid w:val="000A75E7"/>
    <w:rsid w:val="000A7841"/>
    <w:rsid w:val="000B1FA0"/>
    <w:rsid w:val="000B3DC7"/>
    <w:rsid w:val="000C07BF"/>
    <w:rsid w:val="000C2B54"/>
    <w:rsid w:val="000C68CF"/>
    <w:rsid w:val="000C7EE4"/>
    <w:rsid w:val="000D4E5F"/>
    <w:rsid w:val="000E6340"/>
    <w:rsid w:val="000F07C3"/>
    <w:rsid w:val="000F2F4E"/>
    <w:rsid w:val="000F2FFE"/>
    <w:rsid w:val="000F7AA7"/>
    <w:rsid w:val="00100444"/>
    <w:rsid w:val="001018D9"/>
    <w:rsid w:val="0010279A"/>
    <w:rsid w:val="0010346D"/>
    <w:rsid w:val="001141D5"/>
    <w:rsid w:val="0012088C"/>
    <w:rsid w:val="001246D8"/>
    <w:rsid w:val="001262E7"/>
    <w:rsid w:val="001264C4"/>
    <w:rsid w:val="001313E3"/>
    <w:rsid w:val="00134FE6"/>
    <w:rsid w:val="00140191"/>
    <w:rsid w:val="00140753"/>
    <w:rsid w:val="00141935"/>
    <w:rsid w:val="00142CDF"/>
    <w:rsid w:val="00147821"/>
    <w:rsid w:val="00161FBB"/>
    <w:rsid w:val="001630F1"/>
    <w:rsid w:val="0017095F"/>
    <w:rsid w:val="00172398"/>
    <w:rsid w:val="0017305B"/>
    <w:rsid w:val="001750D2"/>
    <w:rsid w:val="00176C4F"/>
    <w:rsid w:val="0017731C"/>
    <w:rsid w:val="0018290D"/>
    <w:rsid w:val="00182A5C"/>
    <w:rsid w:val="00187B73"/>
    <w:rsid w:val="00190A4B"/>
    <w:rsid w:val="00195B8B"/>
    <w:rsid w:val="00197137"/>
    <w:rsid w:val="001B1A67"/>
    <w:rsid w:val="001B41DF"/>
    <w:rsid w:val="001C0015"/>
    <w:rsid w:val="001C149B"/>
    <w:rsid w:val="001C15EA"/>
    <w:rsid w:val="001C59F1"/>
    <w:rsid w:val="001D5E50"/>
    <w:rsid w:val="001E142E"/>
    <w:rsid w:val="001E5847"/>
    <w:rsid w:val="001E64AF"/>
    <w:rsid w:val="001E7244"/>
    <w:rsid w:val="001F083A"/>
    <w:rsid w:val="001F1602"/>
    <w:rsid w:val="001F3915"/>
    <w:rsid w:val="001F662B"/>
    <w:rsid w:val="001F7487"/>
    <w:rsid w:val="002020BF"/>
    <w:rsid w:val="00211E07"/>
    <w:rsid w:val="00213103"/>
    <w:rsid w:val="00213391"/>
    <w:rsid w:val="002142DB"/>
    <w:rsid w:val="002148FA"/>
    <w:rsid w:val="0021571F"/>
    <w:rsid w:val="00221D72"/>
    <w:rsid w:val="0022355E"/>
    <w:rsid w:val="002241B1"/>
    <w:rsid w:val="00226784"/>
    <w:rsid w:val="00234853"/>
    <w:rsid w:val="0023711B"/>
    <w:rsid w:val="00240A55"/>
    <w:rsid w:val="00243618"/>
    <w:rsid w:val="00247461"/>
    <w:rsid w:val="00253489"/>
    <w:rsid w:val="00253D7C"/>
    <w:rsid w:val="00254F96"/>
    <w:rsid w:val="00255F60"/>
    <w:rsid w:val="00256EF2"/>
    <w:rsid w:val="00263404"/>
    <w:rsid w:val="00266CD6"/>
    <w:rsid w:val="0027242A"/>
    <w:rsid w:val="00274A63"/>
    <w:rsid w:val="002770A1"/>
    <w:rsid w:val="00280AC4"/>
    <w:rsid w:val="002868B3"/>
    <w:rsid w:val="00291D0D"/>
    <w:rsid w:val="00293C6F"/>
    <w:rsid w:val="002A5636"/>
    <w:rsid w:val="002A7521"/>
    <w:rsid w:val="002B0B8E"/>
    <w:rsid w:val="002B2EBB"/>
    <w:rsid w:val="002C088E"/>
    <w:rsid w:val="002C1C89"/>
    <w:rsid w:val="002C486F"/>
    <w:rsid w:val="002D04DF"/>
    <w:rsid w:val="002D22F2"/>
    <w:rsid w:val="002D6086"/>
    <w:rsid w:val="002E148F"/>
    <w:rsid w:val="002E1BB2"/>
    <w:rsid w:val="002E3F66"/>
    <w:rsid w:val="002E492B"/>
    <w:rsid w:val="002E4965"/>
    <w:rsid w:val="002E57AD"/>
    <w:rsid w:val="002F7FBB"/>
    <w:rsid w:val="0030059F"/>
    <w:rsid w:val="003072C1"/>
    <w:rsid w:val="003120D8"/>
    <w:rsid w:val="00312197"/>
    <w:rsid w:val="00313568"/>
    <w:rsid w:val="00323157"/>
    <w:rsid w:val="00323205"/>
    <w:rsid w:val="003252B2"/>
    <w:rsid w:val="00325F4D"/>
    <w:rsid w:val="00335468"/>
    <w:rsid w:val="00335AAF"/>
    <w:rsid w:val="00335D91"/>
    <w:rsid w:val="00335E1D"/>
    <w:rsid w:val="003374A2"/>
    <w:rsid w:val="00340371"/>
    <w:rsid w:val="00342498"/>
    <w:rsid w:val="00345475"/>
    <w:rsid w:val="00346575"/>
    <w:rsid w:val="00356269"/>
    <w:rsid w:val="00356A1E"/>
    <w:rsid w:val="00357CA0"/>
    <w:rsid w:val="00363724"/>
    <w:rsid w:val="003643F9"/>
    <w:rsid w:val="003646F1"/>
    <w:rsid w:val="00370C2E"/>
    <w:rsid w:val="003751E7"/>
    <w:rsid w:val="00377955"/>
    <w:rsid w:val="0038296D"/>
    <w:rsid w:val="00385AAB"/>
    <w:rsid w:val="00386A90"/>
    <w:rsid w:val="00387554"/>
    <w:rsid w:val="00390344"/>
    <w:rsid w:val="00390CEA"/>
    <w:rsid w:val="00390FB7"/>
    <w:rsid w:val="00392553"/>
    <w:rsid w:val="003A1EBC"/>
    <w:rsid w:val="003A525F"/>
    <w:rsid w:val="003A536E"/>
    <w:rsid w:val="003B0AC0"/>
    <w:rsid w:val="003B0CD3"/>
    <w:rsid w:val="003B6B77"/>
    <w:rsid w:val="003C0854"/>
    <w:rsid w:val="003C407C"/>
    <w:rsid w:val="003C5217"/>
    <w:rsid w:val="003C5293"/>
    <w:rsid w:val="003C714C"/>
    <w:rsid w:val="003C7F32"/>
    <w:rsid w:val="003D3CC6"/>
    <w:rsid w:val="003D5590"/>
    <w:rsid w:val="003D6FA1"/>
    <w:rsid w:val="003E0B78"/>
    <w:rsid w:val="003E1D15"/>
    <w:rsid w:val="003E5013"/>
    <w:rsid w:val="003E6EDD"/>
    <w:rsid w:val="003F6922"/>
    <w:rsid w:val="003F7810"/>
    <w:rsid w:val="0040071F"/>
    <w:rsid w:val="00403B22"/>
    <w:rsid w:val="00407D15"/>
    <w:rsid w:val="00410B6D"/>
    <w:rsid w:val="00410B78"/>
    <w:rsid w:val="00416949"/>
    <w:rsid w:val="00420638"/>
    <w:rsid w:val="004251D0"/>
    <w:rsid w:val="004256E1"/>
    <w:rsid w:val="004302DD"/>
    <w:rsid w:val="00432B03"/>
    <w:rsid w:val="00435E8D"/>
    <w:rsid w:val="0044068D"/>
    <w:rsid w:val="00441F4D"/>
    <w:rsid w:val="00444A3C"/>
    <w:rsid w:val="00444DE6"/>
    <w:rsid w:val="00451D47"/>
    <w:rsid w:val="004609C6"/>
    <w:rsid w:val="00462B31"/>
    <w:rsid w:val="0046584D"/>
    <w:rsid w:val="00472A49"/>
    <w:rsid w:val="004766FA"/>
    <w:rsid w:val="00476AEB"/>
    <w:rsid w:val="004866C9"/>
    <w:rsid w:val="00493C50"/>
    <w:rsid w:val="004945FF"/>
    <w:rsid w:val="0049555B"/>
    <w:rsid w:val="00495A5E"/>
    <w:rsid w:val="0049741D"/>
    <w:rsid w:val="004A0C6E"/>
    <w:rsid w:val="004A0CEF"/>
    <w:rsid w:val="004A2129"/>
    <w:rsid w:val="004A24F2"/>
    <w:rsid w:val="004A28A9"/>
    <w:rsid w:val="004A292F"/>
    <w:rsid w:val="004A4424"/>
    <w:rsid w:val="004A4FDC"/>
    <w:rsid w:val="004B56C7"/>
    <w:rsid w:val="004B7B3E"/>
    <w:rsid w:val="004C517D"/>
    <w:rsid w:val="004C76F0"/>
    <w:rsid w:val="004D21D9"/>
    <w:rsid w:val="004D58FD"/>
    <w:rsid w:val="004D5B80"/>
    <w:rsid w:val="004D6483"/>
    <w:rsid w:val="004D6C19"/>
    <w:rsid w:val="004E704B"/>
    <w:rsid w:val="004F068C"/>
    <w:rsid w:val="004F5DCA"/>
    <w:rsid w:val="00501E7D"/>
    <w:rsid w:val="00511C14"/>
    <w:rsid w:val="00512AAF"/>
    <w:rsid w:val="00515AD3"/>
    <w:rsid w:val="00515C60"/>
    <w:rsid w:val="00517E9C"/>
    <w:rsid w:val="00520698"/>
    <w:rsid w:val="0052159B"/>
    <w:rsid w:val="00521721"/>
    <w:rsid w:val="0053393C"/>
    <w:rsid w:val="005416D2"/>
    <w:rsid w:val="0055471D"/>
    <w:rsid w:val="00556861"/>
    <w:rsid w:val="00563628"/>
    <w:rsid w:val="00563B33"/>
    <w:rsid w:val="00567A16"/>
    <w:rsid w:val="0057190E"/>
    <w:rsid w:val="00590102"/>
    <w:rsid w:val="005927EA"/>
    <w:rsid w:val="00594BD8"/>
    <w:rsid w:val="0059783B"/>
    <w:rsid w:val="005A3539"/>
    <w:rsid w:val="005A4E45"/>
    <w:rsid w:val="005B5C29"/>
    <w:rsid w:val="005B7B1A"/>
    <w:rsid w:val="005C004E"/>
    <w:rsid w:val="005C0CF0"/>
    <w:rsid w:val="005C0F7A"/>
    <w:rsid w:val="005C209F"/>
    <w:rsid w:val="005C5CE0"/>
    <w:rsid w:val="005C763C"/>
    <w:rsid w:val="005C7C51"/>
    <w:rsid w:val="005D0821"/>
    <w:rsid w:val="005D6F8B"/>
    <w:rsid w:val="005E18F9"/>
    <w:rsid w:val="005E5BD1"/>
    <w:rsid w:val="005E5E5A"/>
    <w:rsid w:val="005F1A17"/>
    <w:rsid w:val="005F226A"/>
    <w:rsid w:val="005F3319"/>
    <w:rsid w:val="005F41E3"/>
    <w:rsid w:val="005F43B8"/>
    <w:rsid w:val="006024D6"/>
    <w:rsid w:val="00602B8F"/>
    <w:rsid w:val="00613DF5"/>
    <w:rsid w:val="00613EC0"/>
    <w:rsid w:val="006216BB"/>
    <w:rsid w:val="0062170B"/>
    <w:rsid w:val="0062225B"/>
    <w:rsid w:val="006237C3"/>
    <w:rsid w:val="00626788"/>
    <w:rsid w:val="0062746F"/>
    <w:rsid w:val="00627AF8"/>
    <w:rsid w:val="00634452"/>
    <w:rsid w:val="00641EC9"/>
    <w:rsid w:val="00653A3E"/>
    <w:rsid w:val="006619B4"/>
    <w:rsid w:val="00663D65"/>
    <w:rsid w:val="00665546"/>
    <w:rsid w:val="006708EF"/>
    <w:rsid w:val="00675944"/>
    <w:rsid w:val="00676020"/>
    <w:rsid w:val="00683B91"/>
    <w:rsid w:val="00684399"/>
    <w:rsid w:val="00685740"/>
    <w:rsid w:val="006929A4"/>
    <w:rsid w:val="00695DE2"/>
    <w:rsid w:val="00695F25"/>
    <w:rsid w:val="006A06D4"/>
    <w:rsid w:val="006A3110"/>
    <w:rsid w:val="006A44DC"/>
    <w:rsid w:val="006B0C9D"/>
    <w:rsid w:val="006B288C"/>
    <w:rsid w:val="006B2923"/>
    <w:rsid w:val="006B7B16"/>
    <w:rsid w:val="006C0CC6"/>
    <w:rsid w:val="006C13E0"/>
    <w:rsid w:val="006C3D82"/>
    <w:rsid w:val="006D280E"/>
    <w:rsid w:val="006D5129"/>
    <w:rsid w:val="006E318F"/>
    <w:rsid w:val="006E3DD5"/>
    <w:rsid w:val="006E4603"/>
    <w:rsid w:val="006F130A"/>
    <w:rsid w:val="006F61A0"/>
    <w:rsid w:val="00700F26"/>
    <w:rsid w:val="007013A2"/>
    <w:rsid w:val="0070171E"/>
    <w:rsid w:val="00701A73"/>
    <w:rsid w:val="00704028"/>
    <w:rsid w:val="0070484A"/>
    <w:rsid w:val="00704E0A"/>
    <w:rsid w:val="00706F2E"/>
    <w:rsid w:val="00716031"/>
    <w:rsid w:val="007437A5"/>
    <w:rsid w:val="0074599B"/>
    <w:rsid w:val="00752B20"/>
    <w:rsid w:val="00754DF0"/>
    <w:rsid w:val="00755B73"/>
    <w:rsid w:val="00757745"/>
    <w:rsid w:val="00760806"/>
    <w:rsid w:val="00760A85"/>
    <w:rsid w:val="00763937"/>
    <w:rsid w:val="00763CF6"/>
    <w:rsid w:val="00766C6B"/>
    <w:rsid w:val="00767CBB"/>
    <w:rsid w:val="00770EE2"/>
    <w:rsid w:val="00772EDA"/>
    <w:rsid w:val="0077539A"/>
    <w:rsid w:val="00777694"/>
    <w:rsid w:val="0078052E"/>
    <w:rsid w:val="00782826"/>
    <w:rsid w:val="00783EA0"/>
    <w:rsid w:val="00787085"/>
    <w:rsid w:val="00790559"/>
    <w:rsid w:val="007957A3"/>
    <w:rsid w:val="007963BA"/>
    <w:rsid w:val="007A69A7"/>
    <w:rsid w:val="007A70E7"/>
    <w:rsid w:val="007A75EA"/>
    <w:rsid w:val="007B0F93"/>
    <w:rsid w:val="007B701C"/>
    <w:rsid w:val="007C00E4"/>
    <w:rsid w:val="007C0E65"/>
    <w:rsid w:val="007C1C27"/>
    <w:rsid w:val="007C1C55"/>
    <w:rsid w:val="007C5043"/>
    <w:rsid w:val="007C5827"/>
    <w:rsid w:val="007C658C"/>
    <w:rsid w:val="007C702E"/>
    <w:rsid w:val="007D5752"/>
    <w:rsid w:val="007D5C45"/>
    <w:rsid w:val="007E4386"/>
    <w:rsid w:val="007E6881"/>
    <w:rsid w:val="007F2ACB"/>
    <w:rsid w:val="00801563"/>
    <w:rsid w:val="00801EA4"/>
    <w:rsid w:val="0080267B"/>
    <w:rsid w:val="00802DD0"/>
    <w:rsid w:val="0080311C"/>
    <w:rsid w:val="0080507D"/>
    <w:rsid w:val="008075A0"/>
    <w:rsid w:val="008176C1"/>
    <w:rsid w:val="00820F10"/>
    <w:rsid w:val="00822338"/>
    <w:rsid w:val="008242B3"/>
    <w:rsid w:val="0082671E"/>
    <w:rsid w:val="008415EA"/>
    <w:rsid w:val="00843A69"/>
    <w:rsid w:val="008463F3"/>
    <w:rsid w:val="008478F8"/>
    <w:rsid w:val="00850EA8"/>
    <w:rsid w:val="00855C83"/>
    <w:rsid w:val="00855CE1"/>
    <w:rsid w:val="0085607D"/>
    <w:rsid w:val="00861D1F"/>
    <w:rsid w:val="00862659"/>
    <w:rsid w:val="00870477"/>
    <w:rsid w:val="0087208F"/>
    <w:rsid w:val="008725E9"/>
    <w:rsid w:val="0087264E"/>
    <w:rsid w:val="00877B0C"/>
    <w:rsid w:val="008804FA"/>
    <w:rsid w:val="008824EC"/>
    <w:rsid w:val="008839BA"/>
    <w:rsid w:val="00891483"/>
    <w:rsid w:val="008A3678"/>
    <w:rsid w:val="008A3C3C"/>
    <w:rsid w:val="008A48C1"/>
    <w:rsid w:val="008B330A"/>
    <w:rsid w:val="008B42C9"/>
    <w:rsid w:val="008B7962"/>
    <w:rsid w:val="008C0BD5"/>
    <w:rsid w:val="008C2CE2"/>
    <w:rsid w:val="008C4B83"/>
    <w:rsid w:val="008C6018"/>
    <w:rsid w:val="008D0232"/>
    <w:rsid w:val="008D03C7"/>
    <w:rsid w:val="008D15B5"/>
    <w:rsid w:val="008D1BBA"/>
    <w:rsid w:val="008D2909"/>
    <w:rsid w:val="008D4749"/>
    <w:rsid w:val="008D4936"/>
    <w:rsid w:val="008E0B61"/>
    <w:rsid w:val="008E2EB4"/>
    <w:rsid w:val="008E63E9"/>
    <w:rsid w:val="008E7FD6"/>
    <w:rsid w:val="008F0C1B"/>
    <w:rsid w:val="008F0E0D"/>
    <w:rsid w:val="008F3FED"/>
    <w:rsid w:val="008F5913"/>
    <w:rsid w:val="008F7BB3"/>
    <w:rsid w:val="00900F6C"/>
    <w:rsid w:val="009101CF"/>
    <w:rsid w:val="00916806"/>
    <w:rsid w:val="009214C4"/>
    <w:rsid w:val="009219D6"/>
    <w:rsid w:val="00921C6E"/>
    <w:rsid w:val="009249A6"/>
    <w:rsid w:val="00930538"/>
    <w:rsid w:val="0093335A"/>
    <w:rsid w:val="0093590C"/>
    <w:rsid w:val="00936EB9"/>
    <w:rsid w:val="00941ED2"/>
    <w:rsid w:val="0094280D"/>
    <w:rsid w:val="00943D19"/>
    <w:rsid w:val="00946683"/>
    <w:rsid w:val="00950AE0"/>
    <w:rsid w:val="00951EB5"/>
    <w:rsid w:val="00953C85"/>
    <w:rsid w:val="00954E2C"/>
    <w:rsid w:val="009551E7"/>
    <w:rsid w:val="009566BF"/>
    <w:rsid w:val="00957D65"/>
    <w:rsid w:val="0097068D"/>
    <w:rsid w:val="00970EE4"/>
    <w:rsid w:val="0097246D"/>
    <w:rsid w:val="0097423D"/>
    <w:rsid w:val="0099250D"/>
    <w:rsid w:val="00992DDC"/>
    <w:rsid w:val="009936F3"/>
    <w:rsid w:val="00995A25"/>
    <w:rsid w:val="00996FE2"/>
    <w:rsid w:val="009A0319"/>
    <w:rsid w:val="009A371E"/>
    <w:rsid w:val="009A5B2F"/>
    <w:rsid w:val="009C47B2"/>
    <w:rsid w:val="009C4F2C"/>
    <w:rsid w:val="009C59C7"/>
    <w:rsid w:val="009D4495"/>
    <w:rsid w:val="009E7DEF"/>
    <w:rsid w:val="009F4BFE"/>
    <w:rsid w:val="009F7E8D"/>
    <w:rsid w:val="00A02555"/>
    <w:rsid w:val="00A03667"/>
    <w:rsid w:val="00A042CC"/>
    <w:rsid w:val="00A06B4E"/>
    <w:rsid w:val="00A07F9D"/>
    <w:rsid w:val="00A21CD9"/>
    <w:rsid w:val="00A24759"/>
    <w:rsid w:val="00A3255A"/>
    <w:rsid w:val="00A33705"/>
    <w:rsid w:val="00A35F71"/>
    <w:rsid w:val="00A37C82"/>
    <w:rsid w:val="00A40F38"/>
    <w:rsid w:val="00A4143D"/>
    <w:rsid w:val="00A43444"/>
    <w:rsid w:val="00A46E2C"/>
    <w:rsid w:val="00A51268"/>
    <w:rsid w:val="00A54EFB"/>
    <w:rsid w:val="00A55754"/>
    <w:rsid w:val="00A56A63"/>
    <w:rsid w:val="00A6342D"/>
    <w:rsid w:val="00A658B2"/>
    <w:rsid w:val="00A65EDE"/>
    <w:rsid w:val="00A7224F"/>
    <w:rsid w:val="00A72D5E"/>
    <w:rsid w:val="00A73724"/>
    <w:rsid w:val="00A778A1"/>
    <w:rsid w:val="00A81244"/>
    <w:rsid w:val="00A814A9"/>
    <w:rsid w:val="00A815F6"/>
    <w:rsid w:val="00A82849"/>
    <w:rsid w:val="00A85207"/>
    <w:rsid w:val="00A9094C"/>
    <w:rsid w:val="00A93ED8"/>
    <w:rsid w:val="00A9651C"/>
    <w:rsid w:val="00AA08E9"/>
    <w:rsid w:val="00AA265B"/>
    <w:rsid w:val="00AA6890"/>
    <w:rsid w:val="00AA77F8"/>
    <w:rsid w:val="00AB30B2"/>
    <w:rsid w:val="00AB33C9"/>
    <w:rsid w:val="00AB695B"/>
    <w:rsid w:val="00AB7ED7"/>
    <w:rsid w:val="00AC02B7"/>
    <w:rsid w:val="00AC26A8"/>
    <w:rsid w:val="00AC2F89"/>
    <w:rsid w:val="00AD065D"/>
    <w:rsid w:val="00AD0AFC"/>
    <w:rsid w:val="00AD0DD8"/>
    <w:rsid w:val="00AD50F9"/>
    <w:rsid w:val="00AD54EF"/>
    <w:rsid w:val="00AE169E"/>
    <w:rsid w:val="00AE1E28"/>
    <w:rsid w:val="00AE3B24"/>
    <w:rsid w:val="00AE7851"/>
    <w:rsid w:val="00AF23AD"/>
    <w:rsid w:val="00AF2D8F"/>
    <w:rsid w:val="00AF52F1"/>
    <w:rsid w:val="00AF57E9"/>
    <w:rsid w:val="00B01F8E"/>
    <w:rsid w:val="00B027B5"/>
    <w:rsid w:val="00B04418"/>
    <w:rsid w:val="00B11D43"/>
    <w:rsid w:val="00B16F99"/>
    <w:rsid w:val="00B26A44"/>
    <w:rsid w:val="00B279DB"/>
    <w:rsid w:val="00B31963"/>
    <w:rsid w:val="00B3703D"/>
    <w:rsid w:val="00B410D6"/>
    <w:rsid w:val="00B45052"/>
    <w:rsid w:val="00B478FC"/>
    <w:rsid w:val="00B47DD5"/>
    <w:rsid w:val="00B51E4C"/>
    <w:rsid w:val="00B563A6"/>
    <w:rsid w:val="00B6370E"/>
    <w:rsid w:val="00B6412D"/>
    <w:rsid w:val="00B71135"/>
    <w:rsid w:val="00B72484"/>
    <w:rsid w:val="00B742E9"/>
    <w:rsid w:val="00B81B21"/>
    <w:rsid w:val="00B825AC"/>
    <w:rsid w:val="00BA0364"/>
    <w:rsid w:val="00BA4902"/>
    <w:rsid w:val="00BA73E3"/>
    <w:rsid w:val="00BB0C8F"/>
    <w:rsid w:val="00BB33CD"/>
    <w:rsid w:val="00BB351C"/>
    <w:rsid w:val="00BB51AE"/>
    <w:rsid w:val="00BC05EB"/>
    <w:rsid w:val="00BC0B08"/>
    <w:rsid w:val="00BC2B17"/>
    <w:rsid w:val="00BC32B3"/>
    <w:rsid w:val="00BC50AB"/>
    <w:rsid w:val="00BC6D42"/>
    <w:rsid w:val="00BD0C15"/>
    <w:rsid w:val="00BD2EED"/>
    <w:rsid w:val="00BE2C9A"/>
    <w:rsid w:val="00BE6688"/>
    <w:rsid w:val="00BF0450"/>
    <w:rsid w:val="00BF0D23"/>
    <w:rsid w:val="00BF2A3A"/>
    <w:rsid w:val="00BF5656"/>
    <w:rsid w:val="00C00085"/>
    <w:rsid w:val="00C001DF"/>
    <w:rsid w:val="00C003FE"/>
    <w:rsid w:val="00C00BED"/>
    <w:rsid w:val="00C02D03"/>
    <w:rsid w:val="00C04CE3"/>
    <w:rsid w:val="00C14B32"/>
    <w:rsid w:val="00C23D20"/>
    <w:rsid w:val="00C30AA2"/>
    <w:rsid w:val="00C40563"/>
    <w:rsid w:val="00C406AA"/>
    <w:rsid w:val="00C40FFF"/>
    <w:rsid w:val="00C425C3"/>
    <w:rsid w:val="00C45745"/>
    <w:rsid w:val="00C51313"/>
    <w:rsid w:val="00C51D23"/>
    <w:rsid w:val="00C563FF"/>
    <w:rsid w:val="00C611E0"/>
    <w:rsid w:val="00C62F2A"/>
    <w:rsid w:val="00C63FF1"/>
    <w:rsid w:val="00C66938"/>
    <w:rsid w:val="00C67071"/>
    <w:rsid w:val="00C70107"/>
    <w:rsid w:val="00C761A1"/>
    <w:rsid w:val="00C7674C"/>
    <w:rsid w:val="00C76A19"/>
    <w:rsid w:val="00C820BB"/>
    <w:rsid w:val="00CA13E8"/>
    <w:rsid w:val="00CB112B"/>
    <w:rsid w:val="00CB426B"/>
    <w:rsid w:val="00CB54FF"/>
    <w:rsid w:val="00CB6D80"/>
    <w:rsid w:val="00CC0FFA"/>
    <w:rsid w:val="00CC12A2"/>
    <w:rsid w:val="00CC4FD8"/>
    <w:rsid w:val="00CD526A"/>
    <w:rsid w:val="00CD6023"/>
    <w:rsid w:val="00CE051B"/>
    <w:rsid w:val="00CE6BD5"/>
    <w:rsid w:val="00CF044D"/>
    <w:rsid w:val="00CF1EEC"/>
    <w:rsid w:val="00CF31F5"/>
    <w:rsid w:val="00CF3DD5"/>
    <w:rsid w:val="00CF521E"/>
    <w:rsid w:val="00CF5B02"/>
    <w:rsid w:val="00CF7B1B"/>
    <w:rsid w:val="00D034AC"/>
    <w:rsid w:val="00D034F4"/>
    <w:rsid w:val="00D037AE"/>
    <w:rsid w:val="00D0489B"/>
    <w:rsid w:val="00D06994"/>
    <w:rsid w:val="00D10898"/>
    <w:rsid w:val="00D17E02"/>
    <w:rsid w:val="00D222E9"/>
    <w:rsid w:val="00D24B14"/>
    <w:rsid w:val="00D411D7"/>
    <w:rsid w:val="00D431DF"/>
    <w:rsid w:val="00D436B5"/>
    <w:rsid w:val="00D44853"/>
    <w:rsid w:val="00D46CBA"/>
    <w:rsid w:val="00D4701E"/>
    <w:rsid w:val="00D47292"/>
    <w:rsid w:val="00D5151C"/>
    <w:rsid w:val="00D54F40"/>
    <w:rsid w:val="00D56111"/>
    <w:rsid w:val="00D56FB0"/>
    <w:rsid w:val="00D628E6"/>
    <w:rsid w:val="00D63CE2"/>
    <w:rsid w:val="00D64798"/>
    <w:rsid w:val="00D648A5"/>
    <w:rsid w:val="00D64D11"/>
    <w:rsid w:val="00D665D6"/>
    <w:rsid w:val="00D715BA"/>
    <w:rsid w:val="00D77C0C"/>
    <w:rsid w:val="00D8139E"/>
    <w:rsid w:val="00D84145"/>
    <w:rsid w:val="00D85F2D"/>
    <w:rsid w:val="00D9119F"/>
    <w:rsid w:val="00D91422"/>
    <w:rsid w:val="00D927BA"/>
    <w:rsid w:val="00D95396"/>
    <w:rsid w:val="00D966EC"/>
    <w:rsid w:val="00DA28B0"/>
    <w:rsid w:val="00DA3106"/>
    <w:rsid w:val="00DA76C3"/>
    <w:rsid w:val="00DA7A64"/>
    <w:rsid w:val="00DB1684"/>
    <w:rsid w:val="00DB77EB"/>
    <w:rsid w:val="00DC0B19"/>
    <w:rsid w:val="00DC1FFF"/>
    <w:rsid w:val="00DC5C0D"/>
    <w:rsid w:val="00DC6622"/>
    <w:rsid w:val="00DD083A"/>
    <w:rsid w:val="00DD175D"/>
    <w:rsid w:val="00DE294E"/>
    <w:rsid w:val="00DE3589"/>
    <w:rsid w:val="00DF2D12"/>
    <w:rsid w:val="00DF3D02"/>
    <w:rsid w:val="00DF3D6C"/>
    <w:rsid w:val="00DF5961"/>
    <w:rsid w:val="00DF7824"/>
    <w:rsid w:val="00E01616"/>
    <w:rsid w:val="00E062CE"/>
    <w:rsid w:val="00E11C80"/>
    <w:rsid w:val="00E163B3"/>
    <w:rsid w:val="00E240F7"/>
    <w:rsid w:val="00E24622"/>
    <w:rsid w:val="00E24A60"/>
    <w:rsid w:val="00E24DE2"/>
    <w:rsid w:val="00E26018"/>
    <w:rsid w:val="00E3172D"/>
    <w:rsid w:val="00E35EAD"/>
    <w:rsid w:val="00E37AC2"/>
    <w:rsid w:val="00E40D79"/>
    <w:rsid w:val="00E42DBC"/>
    <w:rsid w:val="00E44878"/>
    <w:rsid w:val="00E45684"/>
    <w:rsid w:val="00E46BA9"/>
    <w:rsid w:val="00E511D3"/>
    <w:rsid w:val="00E60143"/>
    <w:rsid w:val="00E6300E"/>
    <w:rsid w:val="00E6541E"/>
    <w:rsid w:val="00E702CF"/>
    <w:rsid w:val="00E70AC7"/>
    <w:rsid w:val="00E74DF9"/>
    <w:rsid w:val="00E7537C"/>
    <w:rsid w:val="00E8137B"/>
    <w:rsid w:val="00E87047"/>
    <w:rsid w:val="00E91118"/>
    <w:rsid w:val="00E913CD"/>
    <w:rsid w:val="00E9533B"/>
    <w:rsid w:val="00E96225"/>
    <w:rsid w:val="00E968CA"/>
    <w:rsid w:val="00EA4AB7"/>
    <w:rsid w:val="00EA4D9D"/>
    <w:rsid w:val="00EA528C"/>
    <w:rsid w:val="00EA5D0C"/>
    <w:rsid w:val="00EB3A35"/>
    <w:rsid w:val="00EC02D3"/>
    <w:rsid w:val="00EC7AB9"/>
    <w:rsid w:val="00EC7E82"/>
    <w:rsid w:val="00ED0F67"/>
    <w:rsid w:val="00ED40FE"/>
    <w:rsid w:val="00ED4293"/>
    <w:rsid w:val="00ED5D02"/>
    <w:rsid w:val="00ED6F71"/>
    <w:rsid w:val="00EE285E"/>
    <w:rsid w:val="00EE32B4"/>
    <w:rsid w:val="00EE7BE7"/>
    <w:rsid w:val="00F0543F"/>
    <w:rsid w:val="00F07F79"/>
    <w:rsid w:val="00F108EC"/>
    <w:rsid w:val="00F17D36"/>
    <w:rsid w:val="00F23F24"/>
    <w:rsid w:val="00F24FFF"/>
    <w:rsid w:val="00F252A5"/>
    <w:rsid w:val="00F27353"/>
    <w:rsid w:val="00F31F66"/>
    <w:rsid w:val="00F34234"/>
    <w:rsid w:val="00F4280D"/>
    <w:rsid w:val="00F469AE"/>
    <w:rsid w:val="00F53D92"/>
    <w:rsid w:val="00F620A0"/>
    <w:rsid w:val="00F73AA3"/>
    <w:rsid w:val="00F756FC"/>
    <w:rsid w:val="00F84A38"/>
    <w:rsid w:val="00F90CC8"/>
    <w:rsid w:val="00F93779"/>
    <w:rsid w:val="00F93D9A"/>
    <w:rsid w:val="00F941BA"/>
    <w:rsid w:val="00F948EC"/>
    <w:rsid w:val="00F95692"/>
    <w:rsid w:val="00F95A9A"/>
    <w:rsid w:val="00F962DC"/>
    <w:rsid w:val="00FA60DB"/>
    <w:rsid w:val="00FB14B2"/>
    <w:rsid w:val="00FB17DF"/>
    <w:rsid w:val="00FB2F15"/>
    <w:rsid w:val="00FB5EBE"/>
    <w:rsid w:val="00FB6243"/>
    <w:rsid w:val="00FB6688"/>
    <w:rsid w:val="00FB7E4F"/>
    <w:rsid w:val="00FB7EE1"/>
    <w:rsid w:val="00FB7F8F"/>
    <w:rsid w:val="00FC030F"/>
    <w:rsid w:val="00FC1D2C"/>
    <w:rsid w:val="00FC48B9"/>
    <w:rsid w:val="00FD24A9"/>
    <w:rsid w:val="00FE09FD"/>
    <w:rsid w:val="00FE1BAB"/>
    <w:rsid w:val="00FE539C"/>
    <w:rsid w:val="00FF014E"/>
    <w:rsid w:val="00FF0F17"/>
    <w:rsid w:val="00FF541D"/>
    <w:rsid w:val="00FF7026"/>
    <w:rsid w:val="00FF71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34E22B92"/>
  <w15:chartTrackingRefBased/>
  <w15:docId w15:val="{ED3BF397-78E5-49F5-84E4-2D8735F3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B21"/>
    <w:pPr>
      <w:autoSpaceDN w:val="0"/>
    </w:pPr>
    <w:rPr>
      <w:sz w:val="24"/>
    </w:rPr>
  </w:style>
  <w:style w:type="paragraph" w:styleId="Heading1">
    <w:name w:val="heading 1"/>
    <w:basedOn w:val="Normal"/>
    <w:next w:val="BankNormal"/>
    <w:qFormat/>
    <w:rsid w:val="00B81B21"/>
    <w:pPr>
      <w:keepNext/>
      <w:keepLines/>
      <w:spacing w:before="240" w:after="240"/>
      <w:jc w:val="center"/>
      <w:outlineLvl w:val="0"/>
    </w:pPr>
    <w:rPr>
      <w:rFonts w:ascii="Times New Roman Bold" w:hAnsi="Times New Roman Bold"/>
      <w:b/>
      <w:sz w:val="32"/>
    </w:rPr>
  </w:style>
  <w:style w:type="paragraph" w:styleId="Heading2">
    <w:name w:val="heading 2"/>
    <w:basedOn w:val="Normal"/>
    <w:next w:val="BankNormal"/>
    <w:qFormat/>
    <w:rsid w:val="00B81B21"/>
    <w:pPr>
      <w:keepNext/>
      <w:keepLines/>
      <w:jc w:val="center"/>
      <w:outlineLvl w:val="1"/>
    </w:pPr>
    <w:rPr>
      <w:b/>
      <w:smallCaps/>
    </w:rPr>
  </w:style>
  <w:style w:type="paragraph" w:styleId="Heading3">
    <w:name w:val="heading 3"/>
    <w:basedOn w:val="Normal"/>
    <w:next w:val="BankNormal"/>
    <w:qFormat/>
    <w:rsid w:val="00B81B21"/>
    <w:pPr>
      <w:keepNext/>
      <w:keepLines/>
      <w:spacing w:after="240"/>
      <w:outlineLvl w:val="2"/>
    </w:pPr>
    <w:rPr>
      <w:b/>
    </w:rPr>
  </w:style>
  <w:style w:type="paragraph" w:styleId="Heading4">
    <w:name w:val="heading 4"/>
    <w:basedOn w:val="Normal"/>
    <w:next w:val="BankNormal"/>
    <w:qFormat/>
    <w:rsid w:val="00B81B21"/>
    <w:pPr>
      <w:keepNext/>
      <w:keepLines/>
      <w:spacing w:before="120" w:after="240"/>
      <w:outlineLvl w:val="3"/>
    </w:pPr>
    <w:rPr>
      <w:b/>
      <w:i/>
    </w:rPr>
  </w:style>
  <w:style w:type="paragraph" w:styleId="Heading5">
    <w:name w:val="heading 5"/>
    <w:basedOn w:val="Normal"/>
    <w:next w:val="BankNormal"/>
    <w:qFormat/>
    <w:rsid w:val="00B81B21"/>
    <w:pPr>
      <w:spacing w:after="240"/>
      <w:outlineLvl w:val="4"/>
    </w:pPr>
  </w:style>
  <w:style w:type="paragraph" w:styleId="Heading6">
    <w:name w:val="heading 6"/>
    <w:basedOn w:val="Normal"/>
    <w:next w:val="BankNormal"/>
    <w:qFormat/>
    <w:rsid w:val="00B81B21"/>
    <w:pPr>
      <w:spacing w:after="240"/>
      <w:ind w:left="1440" w:hanging="720"/>
      <w:outlineLvl w:val="5"/>
    </w:pPr>
  </w:style>
  <w:style w:type="paragraph" w:styleId="Heading7">
    <w:name w:val="heading 7"/>
    <w:basedOn w:val="Normal"/>
    <w:next w:val="BankNormal"/>
    <w:qFormat/>
    <w:rsid w:val="00B81B21"/>
    <w:pPr>
      <w:spacing w:after="240"/>
      <w:ind w:left="2160" w:hanging="720"/>
      <w:outlineLvl w:val="6"/>
    </w:pPr>
  </w:style>
  <w:style w:type="paragraph" w:styleId="Heading8">
    <w:name w:val="heading 8"/>
    <w:basedOn w:val="Normal"/>
    <w:next w:val="BankNormal"/>
    <w:qFormat/>
    <w:rsid w:val="00B81B21"/>
    <w:pPr>
      <w:spacing w:after="240"/>
      <w:ind w:left="2880" w:hanging="720"/>
      <w:outlineLvl w:val="7"/>
    </w:pPr>
  </w:style>
  <w:style w:type="paragraph" w:styleId="Heading9">
    <w:name w:val="heading 9"/>
    <w:basedOn w:val="Normal"/>
    <w:next w:val="BankNormal"/>
    <w:qFormat/>
    <w:rsid w:val="00B81B2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B81B21"/>
    <w:pPr>
      <w:spacing w:after="240"/>
    </w:pPr>
  </w:style>
  <w:style w:type="character" w:styleId="Hyperlink">
    <w:name w:val="Hyperlink"/>
    <w:rsid w:val="00B81B21"/>
    <w:rPr>
      <w:color w:val="0000FF"/>
      <w:u w:val="single"/>
    </w:rPr>
  </w:style>
  <w:style w:type="character" w:styleId="FollowedHyperlink">
    <w:name w:val="FollowedHyperlink"/>
    <w:rsid w:val="00B81B21"/>
    <w:rPr>
      <w:color w:val="800080"/>
      <w:u w:val="single"/>
    </w:rPr>
  </w:style>
  <w:style w:type="paragraph" w:styleId="NormalWeb">
    <w:name w:val="Normal (Web)"/>
    <w:basedOn w:val="Normal"/>
    <w:rsid w:val="00B81B21"/>
    <w:pPr>
      <w:widowControl w:val="0"/>
      <w:autoSpaceDE w:val="0"/>
      <w:adjustRightInd w:val="0"/>
      <w:spacing w:before="100" w:after="100"/>
    </w:pPr>
    <w:rPr>
      <w:rFonts w:eastAsia="SimSun"/>
      <w:szCs w:val="24"/>
      <w:lang w:eastAsia="zh-CN" w:bidi="ar-JO"/>
    </w:rPr>
  </w:style>
  <w:style w:type="paragraph" w:styleId="TOC1">
    <w:name w:val="toc 1"/>
    <w:basedOn w:val="Normal"/>
    <w:next w:val="Normal"/>
    <w:semiHidden/>
    <w:rsid w:val="00B81B21"/>
    <w:pPr>
      <w:tabs>
        <w:tab w:val="right" w:leader="dot" w:pos="9360"/>
      </w:tabs>
    </w:pPr>
    <w:rPr>
      <w:caps/>
    </w:rPr>
  </w:style>
  <w:style w:type="paragraph" w:styleId="TOC2">
    <w:name w:val="toc 2"/>
    <w:basedOn w:val="Normal"/>
    <w:next w:val="Normal"/>
    <w:semiHidden/>
    <w:rsid w:val="00B81B21"/>
    <w:pPr>
      <w:tabs>
        <w:tab w:val="right" w:leader="dot" w:pos="9360"/>
      </w:tabs>
      <w:ind w:left="720"/>
    </w:pPr>
    <w:rPr>
      <w:smallCaps/>
    </w:rPr>
  </w:style>
  <w:style w:type="paragraph" w:styleId="NormalIndent">
    <w:name w:val="Normal Indent"/>
    <w:basedOn w:val="Normal"/>
    <w:rsid w:val="00B81B21"/>
    <w:pPr>
      <w:ind w:left="720"/>
    </w:pPr>
  </w:style>
  <w:style w:type="paragraph" w:styleId="Header">
    <w:name w:val="header"/>
    <w:basedOn w:val="Normal"/>
    <w:link w:val="HeaderChar"/>
    <w:rsid w:val="00B81B21"/>
    <w:pPr>
      <w:tabs>
        <w:tab w:val="center" w:pos="4320"/>
        <w:tab w:val="right" w:pos="8640"/>
      </w:tabs>
    </w:pPr>
    <w:rPr>
      <w:lang w:val="x-none" w:eastAsia="x-none"/>
    </w:rPr>
  </w:style>
  <w:style w:type="paragraph" w:styleId="Footer">
    <w:name w:val="footer"/>
    <w:basedOn w:val="Normal"/>
    <w:link w:val="FooterChar"/>
    <w:uiPriority w:val="99"/>
    <w:rsid w:val="00B81B21"/>
    <w:pPr>
      <w:tabs>
        <w:tab w:val="center" w:pos="4320"/>
        <w:tab w:val="right" w:pos="8640"/>
      </w:tabs>
    </w:pPr>
    <w:rPr>
      <w:lang w:val="x-none" w:eastAsia="x-none"/>
    </w:rPr>
  </w:style>
  <w:style w:type="paragraph" w:styleId="Title">
    <w:name w:val="Title"/>
    <w:basedOn w:val="Normal"/>
    <w:qFormat/>
    <w:rsid w:val="00B81B21"/>
    <w:pPr>
      <w:tabs>
        <w:tab w:val="right" w:leader="dot" w:pos="8640"/>
      </w:tabs>
      <w:jc w:val="center"/>
    </w:pPr>
    <w:rPr>
      <w:b/>
      <w:sz w:val="36"/>
    </w:rPr>
  </w:style>
  <w:style w:type="paragraph" w:styleId="BodyText">
    <w:name w:val="Body Text"/>
    <w:basedOn w:val="Normal"/>
    <w:rsid w:val="00B81B21"/>
    <w:pPr>
      <w:suppressAutoHyphens/>
      <w:spacing w:after="120"/>
      <w:jc w:val="both"/>
    </w:pPr>
  </w:style>
  <w:style w:type="paragraph" w:styleId="BodyTextIndent">
    <w:name w:val="Body Text Indent"/>
    <w:basedOn w:val="Normal"/>
    <w:rsid w:val="00B81B21"/>
    <w:pPr>
      <w:ind w:left="1440" w:hanging="720"/>
      <w:jc w:val="both"/>
    </w:pPr>
  </w:style>
  <w:style w:type="paragraph" w:styleId="E-mailSignature">
    <w:name w:val="E-mail Signature"/>
    <w:basedOn w:val="Normal"/>
    <w:rsid w:val="00B81B21"/>
    <w:rPr>
      <w:szCs w:val="24"/>
    </w:rPr>
  </w:style>
  <w:style w:type="paragraph" w:customStyle="1" w:styleId="ChapterNumber">
    <w:name w:val="ChapterNumber"/>
    <w:basedOn w:val="Normal"/>
    <w:next w:val="Normal"/>
    <w:rsid w:val="00B81B21"/>
    <w:pPr>
      <w:spacing w:after="360"/>
    </w:pPr>
  </w:style>
  <w:style w:type="paragraph" w:customStyle="1" w:styleId="TextBox">
    <w:name w:val="Text Box"/>
    <w:basedOn w:val="Normal"/>
    <w:rsid w:val="00B81B2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B81B2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B81B2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B81B2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Heading1a">
    <w:name w:val="Heading 1a"/>
    <w:basedOn w:val="Heading1"/>
    <w:next w:val="BankNormal"/>
    <w:rsid w:val="00B81B21"/>
    <w:pPr>
      <w:outlineLvl w:val="9"/>
    </w:pPr>
  </w:style>
  <w:style w:type="paragraph" w:customStyle="1" w:styleId="Outline">
    <w:name w:val="Outline"/>
    <w:basedOn w:val="Normal"/>
    <w:rsid w:val="00B81B21"/>
    <w:pPr>
      <w:spacing w:before="240"/>
    </w:pPr>
    <w:rPr>
      <w:kern w:val="28"/>
    </w:rPr>
  </w:style>
  <w:style w:type="paragraph" w:customStyle="1" w:styleId="Outline2">
    <w:name w:val="Outline2"/>
    <w:basedOn w:val="Normal"/>
    <w:rsid w:val="00B81B21"/>
    <w:pPr>
      <w:numPr>
        <w:ilvl w:val="1"/>
        <w:numId w:val="1"/>
      </w:numPr>
      <w:tabs>
        <w:tab w:val="num" w:pos="864"/>
      </w:tabs>
      <w:spacing w:before="240"/>
      <w:ind w:left="864" w:hanging="504"/>
    </w:pPr>
    <w:rPr>
      <w:kern w:val="28"/>
    </w:rPr>
  </w:style>
  <w:style w:type="paragraph" w:customStyle="1" w:styleId="Outline1">
    <w:name w:val="Outline1"/>
    <w:basedOn w:val="Outline"/>
    <w:next w:val="Outline2"/>
    <w:rsid w:val="00B81B21"/>
    <w:pPr>
      <w:keepNext/>
      <w:numPr>
        <w:numId w:val="1"/>
      </w:numPr>
      <w:tabs>
        <w:tab w:val="num" w:pos="360"/>
      </w:tabs>
      <w:ind w:left="360" w:hanging="360"/>
    </w:pPr>
  </w:style>
  <w:style w:type="paragraph" w:customStyle="1" w:styleId="Outline3">
    <w:name w:val="Outline3"/>
    <w:basedOn w:val="Normal"/>
    <w:rsid w:val="00B81B21"/>
    <w:pPr>
      <w:numPr>
        <w:ilvl w:val="2"/>
        <w:numId w:val="1"/>
      </w:numPr>
      <w:tabs>
        <w:tab w:val="num" w:pos="1368"/>
      </w:tabs>
      <w:spacing w:before="240"/>
      <w:ind w:left="1368" w:hanging="504"/>
    </w:pPr>
    <w:rPr>
      <w:kern w:val="28"/>
    </w:rPr>
  </w:style>
  <w:style w:type="paragraph" w:customStyle="1" w:styleId="Outline4">
    <w:name w:val="Outline4"/>
    <w:basedOn w:val="Normal"/>
    <w:rsid w:val="00B81B21"/>
    <w:pPr>
      <w:numPr>
        <w:ilvl w:val="3"/>
        <w:numId w:val="1"/>
      </w:numPr>
      <w:tabs>
        <w:tab w:val="num" w:pos="1872"/>
      </w:tabs>
      <w:spacing w:before="240"/>
      <w:ind w:left="1872" w:hanging="504"/>
    </w:pPr>
    <w:rPr>
      <w:kern w:val="28"/>
    </w:rPr>
  </w:style>
  <w:style w:type="paragraph" w:customStyle="1" w:styleId="Blockquote">
    <w:name w:val="Blockquote"/>
    <w:basedOn w:val="Normal"/>
    <w:rsid w:val="00B81B21"/>
    <w:pPr>
      <w:snapToGrid w:val="0"/>
      <w:spacing w:before="100" w:after="100"/>
      <w:ind w:left="360" w:right="360"/>
    </w:pPr>
  </w:style>
  <w:style w:type="paragraph" w:customStyle="1" w:styleId="H4">
    <w:name w:val="H4"/>
    <w:basedOn w:val="Normal"/>
    <w:next w:val="Normal"/>
    <w:rsid w:val="00B81B21"/>
    <w:pPr>
      <w:keepNext/>
      <w:snapToGrid w:val="0"/>
      <w:spacing w:before="100" w:after="100"/>
      <w:outlineLvl w:val="4"/>
    </w:pPr>
    <w:rPr>
      <w:b/>
    </w:rPr>
  </w:style>
  <w:style w:type="paragraph" w:customStyle="1" w:styleId="H3">
    <w:name w:val="H3"/>
    <w:basedOn w:val="Normal"/>
    <w:next w:val="Normal"/>
    <w:rsid w:val="00B81B21"/>
    <w:pPr>
      <w:keepNext/>
      <w:snapToGrid w:val="0"/>
      <w:spacing w:before="100" w:after="100"/>
      <w:outlineLvl w:val="3"/>
    </w:pPr>
    <w:rPr>
      <w:b/>
      <w:sz w:val="28"/>
    </w:rPr>
  </w:style>
  <w:style w:type="character" w:styleId="PageNumber">
    <w:name w:val="page number"/>
    <w:basedOn w:val="DefaultParagraphFont"/>
    <w:rsid w:val="00B81B21"/>
  </w:style>
  <w:style w:type="paragraph" w:styleId="ListParagraph">
    <w:name w:val="List Paragraph"/>
    <w:basedOn w:val="Normal"/>
    <w:uiPriority w:val="34"/>
    <w:qFormat/>
    <w:rsid w:val="00A37C82"/>
    <w:pPr>
      <w:ind w:left="720"/>
    </w:pPr>
  </w:style>
  <w:style w:type="paragraph" w:styleId="EndnoteText">
    <w:name w:val="endnote text"/>
    <w:basedOn w:val="Normal"/>
    <w:link w:val="EndnoteTextChar"/>
    <w:rsid w:val="00C76A19"/>
    <w:rPr>
      <w:sz w:val="20"/>
    </w:rPr>
  </w:style>
  <w:style w:type="character" w:customStyle="1" w:styleId="EndnoteTextChar">
    <w:name w:val="Endnote Text Char"/>
    <w:basedOn w:val="DefaultParagraphFont"/>
    <w:link w:val="EndnoteText"/>
    <w:rsid w:val="00C76A19"/>
  </w:style>
  <w:style w:type="character" w:styleId="EndnoteReference">
    <w:name w:val="endnote reference"/>
    <w:rsid w:val="00C76A19"/>
    <w:rPr>
      <w:vertAlign w:val="superscript"/>
    </w:rPr>
  </w:style>
  <w:style w:type="paragraph" w:styleId="BalloonText">
    <w:name w:val="Balloon Text"/>
    <w:basedOn w:val="Normal"/>
    <w:link w:val="BalloonTextChar"/>
    <w:rsid w:val="00410B6D"/>
    <w:rPr>
      <w:rFonts w:ascii="Tahoma" w:hAnsi="Tahoma"/>
      <w:sz w:val="16"/>
      <w:szCs w:val="16"/>
      <w:lang w:val="x-none" w:eastAsia="x-none"/>
    </w:rPr>
  </w:style>
  <w:style w:type="character" w:customStyle="1" w:styleId="BalloonTextChar">
    <w:name w:val="Balloon Text Char"/>
    <w:link w:val="BalloonText"/>
    <w:rsid w:val="00410B6D"/>
    <w:rPr>
      <w:rFonts w:ascii="Tahoma" w:hAnsi="Tahoma" w:cs="Tahoma"/>
      <w:sz w:val="16"/>
      <w:szCs w:val="16"/>
    </w:rPr>
  </w:style>
  <w:style w:type="character" w:customStyle="1" w:styleId="HeaderChar">
    <w:name w:val="Header Char"/>
    <w:link w:val="Header"/>
    <w:rsid w:val="00CF5B02"/>
    <w:rPr>
      <w:sz w:val="24"/>
    </w:rPr>
  </w:style>
  <w:style w:type="character" w:customStyle="1" w:styleId="FooterChar">
    <w:name w:val="Footer Char"/>
    <w:link w:val="Footer"/>
    <w:uiPriority w:val="99"/>
    <w:rsid w:val="00CF5B02"/>
    <w:rPr>
      <w:sz w:val="24"/>
    </w:rPr>
  </w:style>
  <w:style w:type="character" w:styleId="CommentReference">
    <w:name w:val="annotation reference"/>
    <w:uiPriority w:val="99"/>
    <w:unhideWhenUsed/>
    <w:rsid w:val="005F3319"/>
    <w:rPr>
      <w:sz w:val="16"/>
      <w:szCs w:val="16"/>
    </w:rPr>
  </w:style>
  <w:style w:type="paragraph" w:styleId="CommentText">
    <w:name w:val="annotation text"/>
    <w:basedOn w:val="Normal"/>
    <w:link w:val="CommentTextChar"/>
    <w:uiPriority w:val="99"/>
    <w:unhideWhenUsed/>
    <w:rsid w:val="005F3319"/>
    <w:pPr>
      <w:autoSpaceDN/>
      <w:spacing w:after="160"/>
    </w:pPr>
    <w:rPr>
      <w:rFonts w:ascii="Calibri" w:eastAsia="Calibri" w:hAnsi="Calibri" w:cs="Arial"/>
      <w:kern w:val="2"/>
      <w:sz w:val="20"/>
    </w:rPr>
  </w:style>
  <w:style w:type="character" w:customStyle="1" w:styleId="CommentTextChar">
    <w:name w:val="Comment Text Char"/>
    <w:link w:val="CommentText"/>
    <w:uiPriority w:val="99"/>
    <w:rsid w:val="005F3319"/>
    <w:rPr>
      <w:rFonts w:ascii="Calibri" w:eastAsia="Calibri" w:hAnsi="Calibri" w:cs="Arial"/>
      <w:kern w:val="2"/>
    </w:rPr>
  </w:style>
  <w:style w:type="paragraph" w:styleId="CommentSubject">
    <w:name w:val="annotation subject"/>
    <w:basedOn w:val="CommentText"/>
    <w:next w:val="CommentText"/>
    <w:link w:val="CommentSubjectChar"/>
    <w:rsid w:val="005F41E3"/>
    <w:pPr>
      <w:autoSpaceDN w:val="0"/>
      <w:spacing w:after="0"/>
    </w:pPr>
    <w:rPr>
      <w:rFonts w:ascii="Times New Roman" w:eastAsia="Times New Roman" w:hAnsi="Times New Roman" w:cs="Times New Roman"/>
      <w:b/>
      <w:bCs/>
      <w:kern w:val="0"/>
    </w:rPr>
  </w:style>
  <w:style w:type="character" w:customStyle="1" w:styleId="CommentSubjectChar">
    <w:name w:val="Comment Subject Char"/>
    <w:link w:val="CommentSubject"/>
    <w:rsid w:val="005F41E3"/>
    <w:rPr>
      <w:rFonts w:ascii="Calibri" w:eastAsia="Calibri" w:hAnsi="Calibri" w:cs="Arial"/>
      <w:b/>
      <w:bCs/>
      <w:kern w:val="2"/>
    </w:rPr>
  </w:style>
  <w:style w:type="paragraph" w:styleId="Revision">
    <w:name w:val="Revision"/>
    <w:hidden/>
    <w:uiPriority w:val="99"/>
    <w:semiHidden/>
    <w:rsid w:val="00F948EC"/>
    <w:rPr>
      <w:sz w:val="24"/>
    </w:rPr>
  </w:style>
  <w:style w:type="table" w:styleId="TableGrid">
    <w:name w:val="Table Grid"/>
    <w:basedOn w:val="TableNormal"/>
    <w:rsid w:val="008D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704150">
      <w:bodyDiv w:val="1"/>
      <w:marLeft w:val="0"/>
      <w:marRight w:val="0"/>
      <w:marTop w:val="0"/>
      <w:marBottom w:val="0"/>
      <w:divBdr>
        <w:top w:val="none" w:sz="0" w:space="0" w:color="auto"/>
        <w:left w:val="none" w:sz="0" w:space="0" w:color="auto"/>
        <w:bottom w:val="none" w:sz="0" w:space="0" w:color="auto"/>
        <w:right w:val="none" w:sz="0" w:space="0" w:color="auto"/>
      </w:divBdr>
    </w:div>
    <w:div w:id="1497190032">
      <w:bodyDiv w:val="1"/>
      <w:marLeft w:val="0"/>
      <w:marRight w:val="0"/>
      <w:marTop w:val="0"/>
      <w:marBottom w:val="0"/>
      <w:divBdr>
        <w:top w:val="none" w:sz="0" w:space="0" w:color="auto"/>
        <w:left w:val="none" w:sz="0" w:space="0" w:color="auto"/>
        <w:bottom w:val="none" w:sz="0" w:space="0" w:color="auto"/>
        <w:right w:val="none" w:sz="0" w:space="0" w:color="auto"/>
      </w:divBdr>
    </w:div>
    <w:div w:id="1656253645">
      <w:bodyDiv w:val="1"/>
      <w:marLeft w:val="0"/>
      <w:marRight w:val="0"/>
      <w:marTop w:val="0"/>
      <w:marBottom w:val="0"/>
      <w:divBdr>
        <w:top w:val="none" w:sz="0" w:space="0" w:color="auto"/>
        <w:left w:val="none" w:sz="0" w:space="0" w:color="auto"/>
        <w:bottom w:val="none" w:sz="0" w:space="0" w:color="auto"/>
        <w:right w:val="none" w:sz="0" w:space="0" w:color="auto"/>
      </w:divBdr>
    </w:div>
    <w:div w:id="2032947463">
      <w:bodyDiv w:val="1"/>
      <w:marLeft w:val="0"/>
      <w:marRight w:val="0"/>
      <w:marTop w:val="0"/>
      <w:marBottom w:val="0"/>
      <w:divBdr>
        <w:top w:val="none" w:sz="0" w:space="0" w:color="auto"/>
        <w:left w:val="none" w:sz="0" w:space="0" w:color="auto"/>
        <w:bottom w:val="none" w:sz="0" w:space="0" w:color="auto"/>
        <w:right w:val="none" w:sz="0" w:space="0" w:color="auto"/>
      </w:divBdr>
    </w:div>
    <w:div w:id="204231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3323</Words>
  <Characters>18564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The Hashemite Kingdom of Jordan</vt:lpstr>
    </vt:vector>
  </TitlesOfParts>
  <Company>mop</Company>
  <LinksUpToDate>false</LinksUpToDate>
  <CharactersWithSpaces>21844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Hashemite Kingdom of Jordan</dc:title>
  <dc:subject/>
  <dc:creator>Kamal</dc:creator>
  <cp:keywords/>
  <cp:lastModifiedBy>Ghinwa Haddad</cp:lastModifiedBy>
  <cp:revision>5</cp:revision>
  <cp:lastPrinted>2021-04-13T11:23:00Z</cp:lastPrinted>
  <dcterms:created xsi:type="dcterms:W3CDTF">2024-07-25T10:53:00Z</dcterms:created>
  <dcterms:modified xsi:type="dcterms:W3CDTF">2024-07-25T11:08:00Z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-638914010</vt:i4>
  </property>
  <property fmtid="{D5CDD505-2E9C-101B-9397-08002B2CF9AE}" pid="3" name="_ReviewCycleID">
    <vt:i4>-638914010</vt:i4>
  </property>
  <property fmtid="{D5CDD505-2E9C-101B-9397-08002B2CF9AE}" pid="4" name="_NewReviewCycle">
    <vt:lpwstr/>
  </property>
  <property fmtid="{D5CDD505-2E9C-101B-9397-08002B2CF9AE}" pid="5" name="_EmailEntryID">
    <vt:lpwstr>0000000036A570EBB4683D4FBA9699E4C35CADCC0700B4E6E9E86394A5458B5C965D2770FBF0000000746AAA0000DCEF2A9E2E41C74DA51B0CCC96E0A9DD0004A9682ACC0000</vt:lpwstr>
  </property>
  <property fmtid="{D5CDD505-2E9C-101B-9397-08002B2CF9AE}" pid="6" name="_EmailStoreID0">
    <vt:lpwstr>0000000038A1BB1005E5101AA1BB08002B2A56C20000454D534D44422E444C4C00000000000000001B55FA20AA6611CD9BC800AA002FC45A0C00000079617A697A406364722E676F762E6C62002F6F3D4344522F6F753D46697273742041646D696E6973747261746976652047726F75702F636E3D526563697069656E74732</vt:lpwstr>
  </property>
  <property fmtid="{D5CDD505-2E9C-101B-9397-08002B2CF9AE}" pid="7" name="_EmailStoreID1">
    <vt:lpwstr>F636E3D79617A697A00E94632F4340000000200000010000000790061007A0069007A0040006300640072002E0067006F0076002E006C00620000000000</vt:lpwstr>
  </property>
  <property fmtid="{D5CDD505-2E9C-101B-9397-08002B2CF9AE}" pid="8" name="_EmailStoreID2">
    <vt:lpwstr>0061006E006B002E006F007200670000000000</vt:lpwstr>
  </property>
</Properties>
</file>